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BB6E" w14:textId="77777777" w:rsidR="00794246" w:rsidRDefault="00794246"/>
    <w:p w14:paraId="2AE76000" w14:textId="77777777" w:rsidR="00794246" w:rsidRPr="00794246" w:rsidRDefault="00794246" w:rsidP="00794246"/>
    <w:p w14:paraId="095AAF5A" w14:textId="77777777" w:rsidR="00794246" w:rsidRDefault="00794246" w:rsidP="00794246"/>
    <w:p w14:paraId="7705D0E1" w14:textId="77777777" w:rsidR="00794246" w:rsidRDefault="00794246" w:rsidP="00794246">
      <w:pPr>
        <w:jc w:val="center"/>
      </w:pPr>
      <w:r>
        <w:rPr>
          <w:noProof/>
          <w:lang w:eastAsia="en-GB"/>
        </w:rPr>
        <w:drawing>
          <wp:inline distT="0" distB="0" distL="0" distR="0" wp14:anchorId="2C78F312" wp14:editId="3711CEF5">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352B48FE" w14:textId="77777777" w:rsidR="00794246" w:rsidRDefault="00794246" w:rsidP="00794246">
      <w:pPr>
        <w:jc w:val="center"/>
      </w:pPr>
    </w:p>
    <w:p w14:paraId="589BF87C" w14:textId="77777777" w:rsidR="00794246" w:rsidRDefault="00794246" w:rsidP="00794246">
      <w:pPr>
        <w:jc w:val="center"/>
      </w:pPr>
    </w:p>
    <w:p w14:paraId="7298A06F" w14:textId="77777777" w:rsidR="00794246" w:rsidRDefault="00896163" w:rsidP="00794246">
      <w:pPr>
        <w:jc w:val="center"/>
        <w:rPr>
          <w:sz w:val="72"/>
          <w:szCs w:val="72"/>
        </w:rPr>
      </w:pPr>
      <w:r>
        <w:rPr>
          <w:sz w:val="72"/>
          <w:szCs w:val="72"/>
        </w:rPr>
        <w:t>CURRICULUM</w:t>
      </w:r>
      <w:r w:rsidR="00794246" w:rsidRPr="00794246">
        <w:rPr>
          <w:sz w:val="72"/>
          <w:szCs w:val="72"/>
        </w:rPr>
        <w:t xml:space="preserve"> POLICY</w:t>
      </w:r>
    </w:p>
    <w:p w14:paraId="644FB809"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65850DBD"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15418E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724BEB0C" w14:textId="77777777" w:rsidR="00794246" w:rsidRPr="00794246" w:rsidRDefault="00896163" w:rsidP="00794246">
            <w:pPr>
              <w:spacing w:after="0" w:line="240" w:lineRule="auto"/>
              <w:rPr>
                <w:rFonts w:cstheme="minorHAnsi"/>
                <w:b/>
                <w:sz w:val="20"/>
                <w:szCs w:val="20"/>
              </w:rPr>
            </w:pPr>
            <w:r>
              <w:rPr>
                <w:rFonts w:cstheme="minorHAnsi"/>
                <w:b/>
                <w:sz w:val="20"/>
                <w:szCs w:val="20"/>
              </w:rPr>
              <w:t>n/a</w:t>
            </w:r>
          </w:p>
        </w:tc>
      </w:tr>
      <w:tr w:rsidR="00794246" w:rsidRPr="00A85859" w14:paraId="51214E9A"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C6CF88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B875053" w14:textId="77777777" w:rsidR="00794246" w:rsidRPr="00794246" w:rsidRDefault="00896163" w:rsidP="00794246">
            <w:pPr>
              <w:spacing w:after="0" w:line="240" w:lineRule="auto"/>
              <w:rPr>
                <w:rFonts w:cstheme="minorHAnsi"/>
                <w:b/>
                <w:sz w:val="20"/>
                <w:szCs w:val="20"/>
              </w:rPr>
            </w:pPr>
            <w:r>
              <w:rPr>
                <w:rFonts w:cstheme="minorHAnsi"/>
                <w:b/>
                <w:sz w:val="20"/>
                <w:szCs w:val="20"/>
              </w:rPr>
              <w:t>n/a</w:t>
            </w:r>
          </w:p>
        </w:tc>
      </w:tr>
      <w:tr w:rsidR="00794246" w:rsidRPr="00A85859" w14:paraId="192CCEBE"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5D14A9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4927DBEC" w14:textId="77777777" w:rsidR="00794246" w:rsidRPr="00794246" w:rsidRDefault="00794246" w:rsidP="00794246">
            <w:pPr>
              <w:spacing w:after="0" w:line="240" w:lineRule="auto"/>
              <w:rPr>
                <w:rFonts w:cstheme="minorHAnsi"/>
                <w:b/>
                <w:sz w:val="20"/>
                <w:szCs w:val="20"/>
              </w:rPr>
            </w:pPr>
          </w:p>
        </w:tc>
      </w:tr>
      <w:tr w:rsidR="00794246" w:rsidRPr="00A85859" w14:paraId="45D71A93"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70418F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233F1360" w14:textId="77777777" w:rsidR="00794246" w:rsidRPr="00794246" w:rsidRDefault="00794246" w:rsidP="00794246">
            <w:pPr>
              <w:spacing w:after="0" w:line="240" w:lineRule="auto"/>
              <w:rPr>
                <w:rFonts w:cstheme="minorHAnsi"/>
                <w:b/>
                <w:sz w:val="20"/>
                <w:szCs w:val="20"/>
              </w:rPr>
            </w:pPr>
          </w:p>
        </w:tc>
      </w:tr>
      <w:tr w:rsidR="00794246" w:rsidRPr="00794246" w14:paraId="38BEAD70"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2344EE"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C183BE6" w14:textId="77777777" w:rsidR="00794246" w:rsidRPr="00794246" w:rsidRDefault="00896163" w:rsidP="00794246">
            <w:pPr>
              <w:spacing w:after="0" w:line="240" w:lineRule="auto"/>
              <w:rPr>
                <w:rFonts w:cstheme="minorHAnsi"/>
                <w:b/>
                <w:sz w:val="20"/>
                <w:szCs w:val="20"/>
              </w:rPr>
            </w:pPr>
            <w:r>
              <w:rPr>
                <w:rFonts w:cstheme="minorHAnsi"/>
                <w:b/>
                <w:sz w:val="20"/>
                <w:szCs w:val="20"/>
              </w:rPr>
              <w:t>n/a</w:t>
            </w:r>
          </w:p>
        </w:tc>
      </w:tr>
    </w:tbl>
    <w:p w14:paraId="06107516" w14:textId="77777777" w:rsidR="00794246" w:rsidRDefault="00794246" w:rsidP="00794246">
      <w:pPr>
        <w:jc w:val="center"/>
      </w:pPr>
    </w:p>
    <w:p w14:paraId="406886D6" w14:textId="77777777" w:rsidR="00AD5BF5" w:rsidRDefault="00AD5BF5" w:rsidP="00794246">
      <w:pPr>
        <w:jc w:val="center"/>
        <w:rPr>
          <w:b/>
        </w:rPr>
      </w:pPr>
    </w:p>
    <w:p w14:paraId="0509A247" w14:textId="77777777" w:rsidR="00AD5BF5" w:rsidRDefault="00AD5BF5" w:rsidP="00794246">
      <w:pPr>
        <w:jc w:val="center"/>
        <w:rPr>
          <w:b/>
        </w:rPr>
      </w:pPr>
    </w:p>
    <w:p w14:paraId="5DA32BCC" w14:textId="77777777" w:rsidR="00AD5BF5" w:rsidRDefault="00AD5BF5" w:rsidP="00794246">
      <w:pPr>
        <w:jc w:val="center"/>
        <w:rPr>
          <w:b/>
        </w:rPr>
      </w:pPr>
    </w:p>
    <w:p w14:paraId="57D41F2E" w14:textId="77777777" w:rsidR="00AD5BF5" w:rsidRDefault="00AD5BF5" w:rsidP="00794246">
      <w:pPr>
        <w:jc w:val="center"/>
        <w:rPr>
          <w:b/>
        </w:rPr>
      </w:pPr>
    </w:p>
    <w:p w14:paraId="7FBCFB07" w14:textId="77777777" w:rsidR="00AD5BF5" w:rsidRDefault="00AD5BF5" w:rsidP="00164946">
      <w:pPr>
        <w:rPr>
          <w:b/>
        </w:rPr>
      </w:pPr>
    </w:p>
    <w:p w14:paraId="0FF73B26" w14:textId="77777777" w:rsidR="00B57EC0" w:rsidRDefault="00B57EC0" w:rsidP="00164946">
      <w:pPr>
        <w:rPr>
          <w:b/>
        </w:rPr>
      </w:pPr>
    </w:p>
    <w:p w14:paraId="1AA4E12C"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425F0996" w14:textId="77777777" w:rsidR="000D65F8" w:rsidRPr="00357D15" w:rsidRDefault="00B57EC0"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Curriculum statement</w:t>
      </w:r>
    </w:p>
    <w:p w14:paraId="52FF8699" w14:textId="77777777" w:rsidR="00B57EC0" w:rsidRDefault="00B57EC0" w:rsidP="00B57EC0">
      <w:pPr>
        <w:numPr>
          <w:ilvl w:val="12"/>
          <w:numId w:val="0"/>
        </w:numPr>
        <w:spacing w:after="0" w:line="240" w:lineRule="auto"/>
        <w:rPr>
          <w:b/>
        </w:rPr>
      </w:pPr>
    </w:p>
    <w:p w14:paraId="2FDB83E2" w14:textId="77777777" w:rsidR="003337F7" w:rsidRPr="002B2992" w:rsidRDefault="003337F7" w:rsidP="003337F7">
      <w:pPr>
        <w:spacing w:after="0"/>
        <w:rPr>
          <w:b/>
          <w:sz w:val="24"/>
          <w:szCs w:val="24"/>
        </w:rPr>
      </w:pPr>
      <w:r w:rsidRPr="002B2992">
        <w:rPr>
          <w:b/>
          <w:sz w:val="24"/>
          <w:szCs w:val="24"/>
        </w:rPr>
        <w:t>Curriculum for Life Long Learning:</w:t>
      </w:r>
    </w:p>
    <w:p w14:paraId="135F48F3" w14:textId="77777777" w:rsidR="003337F7" w:rsidRPr="002B2992" w:rsidRDefault="003337F7" w:rsidP="003337F7">
      <w:pPr>
        <w:spacing w:after="0"/>
        <w:rPr>
          <w:sz w:val="24"/>
          <w:szCs w:val="24"/>
        </w:rPr>
      </w:pPr>
      <w:r w:rsidRPr="002B2992">
        <w:rPr>
          <w:sz w:val="24"/>
          <w:szCs w:val="24"/>
        </w:rPr>
        <w:t>Our curriculum is designed to meet the needs of all learners to enable them to follow pathways that will allow them to meet their full academic, emotional and social potential.</w:t>
      </w:r>
    </w:p>
    <w:p w14:paraId="497E4F92" w14:textId="77777777" w:rsidR="003337F7" w:rsidRPr="002B2992" w:rsidRDefault="003337F7" w:rsidP="003337F7">
      <w:pPr>
        <w:spacing w:after="0"/>
        <w:rPr>
          <w:sz w:val="24"/>
          <w:szCs w:val="24"/>
        </w:rPr>
      </w:pPr>
    </w:p>
    <w:p w14:paraId="0DBF5DD9" w14:textId="77777777" w:rsidR="003337F7" w:rsidRPr="002B2992" w:rsidRDefault="003337F7" w:rsidP="003337F7">
      <w:pPr>
        <w:spacing w:after="0"/>
        <w:rPr>
          <w:sz w:val="24"/>
          <w:szCs w:val="24"/>
        </w:rPr>
      </w:pPr>
      <w:r w:rsidRPr="002B2992">
        <w:rPr>
          <w:sz w:val="24"/>
          <w:szCs w:val="24"/>
        </w:rPr>
        <w:t>As an 11-16 Academy, we now plan our curriculum back from the GCSE specifications to ensure that we are fully preparing students with the best possible foundations in knowledge and skill development, from our transition work in year 6 onwards, whilst ensuring that the content is enriched both inside and outside the classroom.</w:t>
      </w:r>
    </w:p>
    <w:p w14:paraId="017FFE17" w14:textId="77777777" w:rsidR="00B57EC0" w:rsidRPr="00B57EC0" w:rsidRDefault="00B57EC0" w:rsidP="00B57EC0">
      <w:pPr>
        <w:numPr>
          <w:ilvl w:val="12"/>
          <w:numId w:val="0"/>
        </w:numPr>
        <w:spacing w:after="0" w:line="240" w:lineRule="auto"/>
        <w:rPr>
          <w:rFonts w:ascii="Calibri" w:eastAsia="Times New Roman" w:hAnsi="Calibri" w:cs="Calibri"/>
          <w:lang w:eastAsia="en-GB"/>
        </w:rPr>
      </w:pPr>
    </w:p>
    <w:p w14:paraId="26436AEF" w14:textId="218C53E3" w:rsidR="00B57EC0" w:rsidRPr="00357D15" w:rsidRDefault="00B57EC0" w:rsidP="00B57EC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Principles</w:t>
      </w:r>
      <w:r w:rsidR="007C7075">
        <w:rPr>
          <w:rFonts w:ascii="Arial" w:hAnsi="Arial" w:cs="Arial"/>
          <w:color w:val="231F20"/>
          <w:spacing w:val="-9"/>
          <w:w w:val="85"/>
          <w:szCs w:val="22"/>
        </w:rPr>
        <w:t>- Curriculum Intent</w:t>
      </w:r>
      <w:bookmarkStart w:id="0" w:name="_GoBack"/>
      <w:bookmarkEnd w:id="0"/>
    </w:p>
    <w:p w14:paraId="036A1D9C" w14:textId="77777777" w:rsidR="00B57EC0" w:rsidRDefault="00B57EC0" w:rsidP="00B57EC0">
      <w:pPr>
        <w:numPr>
          <w:ilvl w:val="12"/>
          <w:numId w:val="0"/>
        </w:numPr>
        <w:spacing w:after="0" w:line="240" w:lineRule="auto"/>
        <w:ind w:left="357" w:hanging="357"/>
        <w:rPr>
          <w:rFonts w:ascii="Calibri" w:eastAsia="Times New Roman" w:hAnsi="Calibri" w:cs="Calibri"/>
          <w:sz w:val="24"/>
          <w:szCs w:val="24"/>
          <w:lang w:eastAsia="en-GB"/>
        </w:rPr>
      </w:pPr>
    </w:p>
    <w:p w14:paraId="18FE8CEE" w14:textId="77777777" w:rsidR="003337F7" w:rsidRDefault="003337F7" w:rsidP="003337F7">
      <w:pPr>
        <w:spacing w:after="0"/>
        <w:rPr>
          <w:sz w:val="24"/>
          <w:szCs w:val="24"/>
        </w:rPr>
      </w:pPr>
      <w:r w:rsidRPr="002B2992">
        <w:rPr>
          <w:sz w:val="24"/>
          <w:szCs w:val="24"/>
        </w:rPr>
        <w:t>Our curriculum is designed upon a set of key principles:</w:t>
      </w:r>
    </w:p>
    <w:p w14:paraId="78713879" w14:textId="77777777" w:rsidR="0058603E" w:rsidRPr="0058603E" w:rsidRDefault="0058603E" w:rsidP="0058603E">
      <w:pPr>
        <w:pStyle w:val="ListParagraph"/>
        <w:numPr>
          <w:ilvl w:val="0"/>
          <w:numId w:val="3"/>
        </w:numPr>
        <w:spacing w:after="0"/>
        <w:rPr>
          <w:sz w:val="24"/>
          <w:szCs w:val="24"/>
        </w:rPr>
      </w:pPr>
      <w:r>
        <w:rPr>
          <w:sz w:val="24"/>
          <w:szCs w:val="24"/>
        </w:rPr>
        <w:t xml:space="preserve">Focusing on quality first Teaching and Learning </w:t>
      </w:r>
    </w:p>
    <w:p w14:paraId="2A907062" w14:textId="77777777" w:rsidR="003337F7" w:rsidRPr="002B2992" w:rsidRDefault="003337F7" w:rsidP="003337F7">
      <w:pPr>
        <w:pStyle w:val="ListParagraph"/>
        <w:numPr>
          <w:ilvl w:val="0"/>
          <w:numId w:val="3"/>
        </w:numPr>
        <w:spacing w:after="0"/>
        <w:rPr>
          <w:sz w:val="24"/>
          <w:szCs w:val="24"/>
        </w:rPr>
      </w:pPr>
      <w:r w:rsidRPr="002B2992">
        <w:rPr>
          <w:sz w:val="24"/>
          <w:szCs w:val="24"/>
        </w:rPr>
        <w:t>Challenge and enjoyment</w:t>
      </w:r>
    </w:p>
    <w:p w14:paraId="0234298F" w14:textId="77777777" w:rsidR="003337F7" w:rsidRPr="002B2992" w:rsidRDefault="003337F7" w:rsidP="003337F7">
      <w:pPr>
        <w:pStyle w:val="ListParagraph"/>
        <w:numPr>
          <w:ilvl w:val="0"/>
          <w:numId w:val="3"/>
        </w:numPr>
        <w:spacing w:after="0"/>
        <w:rPr>
          <w:sz w:val="24"/>
          <w:szCs w:val="24"/>
        </w:rPr>
      </w:pPr>
      <w:r w:rsidRPr="002B2992">
        <w:rPr>
          <w:sz w:val="24"/>
          <w:szCs w:val="24"/>
        </w:rPr>
        <w:t>Breadth</w:t>
      </w:r>
      <w:r w:rsidR="0058603E">
        <w:rPr>
          <w:sz w:val="24"/>
          <w:szCs w:val="24"/>
        </w:rPr>
        <w:t xml:space="preserve"> and balance</w:t>
      </w:r>
    </w:p>
    <w:p w14:paraId="262B1124" w14:textId="77777777" w:rsidR="003337F7" w:rsidRPr="002B2992" w:rsidRDefault="003337F7" w:rsidP="003337F7">
      <w:pPr>
        <w:pStyle w:val="ListParagraph"/>
        <w:numPr>
          <w:ilvl w:val="0"/>
          <w:numId w:val="3"/>
        </w:numPr>
        <w:spacing w:after="0"/>
        <w:rPr>
          <w:sz w:val="24"/>
          <w:szCs w:val="24"/>
        </w:rPr>
      </w:pPr>
      <w:r w:rsidRPr="002B2992">
        <w:rPr>
          <w:sz w:val="24"/>
          <w:szCs w:val="24"/>
        </w:rPr>
        <w:t>Equity and Personalisation</w:t>
      </w:r>
    </w:p>
    <w:p w14:paraId="5D3D62C7" w14:textId="77777777" w:rsidR="003337F7" w:rsidRPr="002B2992" w:rsidRDefault="003337F7" w:rsidP="003337F7">
      <w:pPr>
        <w:pStyle w:val="ListParagraph"/>
        <w:numPr>
          <w:ilvl w:val="0"/>
          <w:numId w:val="3"/>
        </w:numPr>
        <w:spacing w:after="0"/>
        <w:rPr>
          <w:sz w:val="24"/>
          <w:szCs w:val="24"/>
        </w:rPr>
      </w:pPr>
      <w:r w:rsidRPr="002B2992">
        <w:rPr>
          <w:sz w:val="24"/>
          <w:szCs w:val="24"/>
        </w:rPr>
        <w:t>Progression</w:t>
      </w:r>
      <w:r w:rsidR="0058603E">
        <w:rPr>
          <w:sz w:val="24"/>
          <w:szCs w:val="24"/>
        </w:rPr>
        <w:t xml:space="preserve"> and sequencing</w:t>
      </w:r>
    </w:p>
    <w:p w14:paraId="17034ED4" w14:textId="77777777" w:rsidR="003337F7" w:rsidRPr="002B2992" w:rsidRDefault="003337F7" w:rsidP="003337F7">
      <w:pPr>
        <w:pStyle w:val="ListParagraph"/>
        <w:numPr>
          <w:ilvl w:val="0"/>
          <w:numId w:val="3"/>
        </w:numPr>
        <w:spacing w:after="0"/>
        <w:rPr>
          <w:sz w:val="24"/>
          <w:szCs w:val="24"/>
        </w:rPr>
      </w:pPr>
      <w:r w:rsidRPr="002B2992">
        <w:rPr>
          <w:sz w:val="24"/>
          <w:szCs w:val="24"/>
        </w:rPr>
        <w:t>Preparing students for</w:t>
      </w:r>
      <w:r w:rsidR="0058603E">
        <w:rPr>
          <w:sz w:val="24"/>
          <w:szCs w:val="24"/>
        </w:rPr>
        <w:t xml:space="preserve"> life, society and</w:t>
      </w:r>
      <w:r w:rsidRPr="002B2992">
        <w:rPr>
          <w:sz w:val="24"/>
          <w:szCs w:val="24"/>
        </w:rPr>
        <w:t xml:space="preserve"> the world of work in the 21</w:t>
      </w:r>
      <w:r w:rsidRPr="002B2992">
        <w:rPr>
          <w:sz w:val="24"/>
          <w:szCs w:val="24"/>
          <w:vertAlign w:val="superscript"/>
        </w:rPr>
        <w:t>st</w:t>
      </w:r>
      <w:r w:rsidRPr="002B2992">
        <w:rPr>
          <w:sz w:val="24"/>
          <w:szCs w:val="24"/>
        </w:rPr>
        <w:t xml:space="preserve"> century</w:t>
      </w:r>
    </w:p>
    <w:p w14:paraId="74F3C905" w14:textId="77777777" w:rsidR="003337F7" w:rsidRPr="002B2992" w:rsidRDefault="0058603E" w:rsidP="003337F7">
      <w:pPr>
        <w:pStyle w:val="ListParagraph"/>
        <w:numPr>
          <w:ilvl w:val="0"/>
          <w:numId w:val="3"/>
        </w:numPr>
        <w:spacing w:after="0"/>
        <w:rPr>
          <w:sz w:val="24"/>
          <w:szCs w:val="24"/>
        </w:rPr>
      </w:pPr>
      <w:r>
        <w:rPr>
          <w:sz w:val="24"/>
          <w:szCs w:val="24"/>
        </w:rPr>
        <w:t>Developing the whole child through</w:t>
      </w:r>
      <w:r w:rsidR="003337F7" w:rsidRPr="002B2992">
        <w:rPr>
          <w:sz w:val="24"/>
          <w:szCs w:val="24"/>
        </w:rPr>
        <w:t xml:space="preserve"> SMSC and British Values </w:t>
      </w:r>
    </w:p>
    <w:p w14:paraId="4773B2E3" w14:textId="77777777" w:rsidR="0058603E" w:rsidRDefault="0058603E" w:rsidP="003337F7">
      <w:pPr>
        <w:pStyle w:val="ListParagraph"/>
        <w:numPr>
          <w:ilvl w:val="0"/>
          <w:numId w:val="3"/>
        </w:numPr>
        <w:spacing w:after="0"/>
        <w:rPr>
          <w:sz w:val="24"/>
          <w:szCs w:val="24"/>
        </w:rPr>
      </w:pPr>
      <w:r>
        <w:rPr>
          <w:sz w:val="24"/>
          <w:szCs w:val="24"/>
        </w:rPr>
        <w:t>Providing an enriching, multifaceted education</w:t>
      </w:r>
    </w:p>
    <w:p w14:paraId="415CB521" w14:textId="77777777" w:rsidR="00B45352" w:rsidRPr="002B2992" w:rsidRDefault="00B45352" w:rsidP="00B45352">
      <w:pPr>
        <w:pStyle w:val="ListParagraph"/>
        <w:spacing w:after="0"/>
        <w:rPr>
          <w:sz w:val="24"/>
          <w:szCs w:val="24"/>
        </w:rPr>
      </w:pPr>
    </w:p>
    <w:p w14:paraId="0729BFD8" w14:textId="36E85F07" w:rsidR="009C1ED5" w:rsidRPr="00AA3FF4" w:rsidRDefault="009C1ED5" w:rsidP="009C1ED5">
      <w:pPr>
        <w:pStyle w:val="Heading3"/>
        <w:pBdr>
          <w:bottom w:val="single" w:sz="18" w:space="1" w:color="808080"/>
        </w:pBdr>
        <w:spacing w:before="0" w:after="0" w:line="298" w:lineRule="auto"/>
        <w:rPr>
          <w:rFonts w:ascii="Arial" w:hAnsi="Arial" w:cs="Arial"/>
          <w:bCs w:val="0"/>
          <w:szCs w:val="22"/>
        </w:rPr>
      </w:pPr>
      <w:r>
        <w:rPr>
          <w:rFonts w:ascii="Arial" w:hAnsi="Arial" w:cs="Arial"/>
          <w:bCs w:val="0"/>
          <w:szCs w:val="22"/>
        </w:rPr>
        <w:t>Focusing on quality first Teaching and Learning</w:t>
      </w:r>
      <w:r w:rsidRPr="00AA3FF4">
        <w:rPr>
          <w:rFonts w:ascii="Arial" w:hAnsi="Arial" w:cs="Arial"/>
          <w:bCs w:val="0"/>
          <w:szCs w:val="22"/>
        </w:rPr>
        <w:t xml:space="preserve"> </w:t>
      </w:r>
    </w:p>
    <w:p w14:paraId="1C9D9585" w14:textId="77777777" w:rsidR="00B57EC0" w:rsidRDefault="00B57EC0" w:rsidP="00B57EC0">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p>
    <w:p w14:paraId="3FA724CE" w14:textId="5F6BE301" w:rsidR="000D5544" w:rsidRDefault="000D5544" w:rsidP="000D5544">
      <w:pPr>
        <w:pStyle w:val="NoSpacing"/>
        <w:rPr>
          <w:rFonts w:cstheme="minorHAnsi"/>
          <w:sz w:val="24"/>
          <w:szCs w:val="24"/>
        </w:rPr>
      </w:pPr>
      <w:r>
        <w:rPr>
          <w:rFonts w:ascii="Calibri" w:eastAsia="Times New Roman" w:hAnsi="Calibri" w:cs="Calibri"/>
          <w:sz w:val="24"/>
          <w:szCs w:val="24"/>
          <w:lang w:eastAsia="en-GB"/>
        </w:rPr>
        <w:t xml:space="preserve">Quality first teaching and learning is the backbone of the curriculum.  </w:t>
      </w:r>
      <w:r>
        <w:rPr>
          <w:rFonts w:cstheme="minorHAnsi"/>
          <w:sz w:val="24"/>
          <w:szCs w:val="24"/>
        </w:rPr>
        <w:t xml:space="preserve">Over 90% of lessons are Good or Outstanding and “teaching is consistently strong in many subjects” (Ofsted 2019).  A robust system of monitoring teaching and learning, through formal observations, learning walks, departmental monitoring, and work </w:t>
      </w:r>
      <w:proofErr w:type="spellStart"/>
      <w:r>
        <w:rPr>
          <w:rFonts w:cstheme="minorHAnsi"/>
          <w:sz w:val="24"/>
          <w:szCs w:val="24"/>
        </w:rPr>
        <w:t>scrutinies</w:t>
      </w:r>
      <w:proofErr w:type="spellEnd"/>
      <w:r>
        <w:rPr>
          <w:rFonts w:cstheme="minorHAnsi"/>
          <w:sz w:val="24"/>
          <w:szCs w:val="24"/>
        </w:rPr>
        <w:t xml:space="preserve">, ensures </w:t>
      </w:r>
      <w:r w:rsidRPr="00A95D75">
        <w:rPr>
          <w:rFonts w:cstheme="minorHAnsi"/>
          <w:sz w:val="24"/>
          <w:szCs w:val="24"/>
        </w:rPr>
        <w:t>each student can achieve the highest standards possible.  Each of us is a part of a successful learning community, with a high quality, enthusiastic staff who continue to learn and develop throughout their time in the academy.</w:t>
      </w:r>
    </w:p>
    <w:p w14:paraId="0A3BCDBA" w14:textId="3CB3E041" w:rsidR="000D5544" w:rsidRPr="00A95D75" w:rsidRDefault="00745155" w:rsidP="00745155">
      <w:pPr>
        <w:pStyle w:val="NoSpacing"/>
        <w:rPr>
          <w:rFonts w:cstheme="minorHAnsi"/>
          <w:sz w:val="24"/>
          <w:szCs w:val="24"/>
        </w:rPr>
      </w:pPr>
      <w:r>
        <w:rPr>
          <w:rFonts w:cstheme="minorHAnsi"/>
          <w:sz w:val="24"/>
          <w:szCs w:val="24"/>
        </w:rPr>
        <w:t xml:space="preserve">A high standard of teaching and learning throughout the academy </w:t>
      </w:r>
      <w:r w:rsidR="000D5544" w:rsidRPr="00A95D75">
        <w:rPr>
          <w:rFonts w:cstheme="minorHAnsi"/>
          <w:sz w:val="24"/>
          <w:szCs w:val="24"/>
        </w:rPr>
        <w:t>ensure</w:t>
      </w:r>
      <w:r>
        <w:rPr>
          <w:rFonts w:cstheme="minorHAnsi"/>
          <w:sz w:val="24"/>
          <w:szCs w:val="24"/>
        </w:rPr>
        <w:t>s</w:t>
      </w:r>
      <w:r w:rsidR="000D5544" w:rsidRPr="00A95D75">
        <w:rPr>
          <w:rFonts w:cstheme="minorHAnsi"/>
          <w:sz w:val="24"/>
          <w:szCs w:val="24"/>
        </w:rPr>
        <w:t xml:space="preserve"> progress</w:t>
      </w:r>
      <w:r>
        <w:rPr>
          <w:rFonts w:cstheme="minorHAnsi"/>
          <w:sz w:val="24"/>
          <w:szCs w:val="24"/>
        </w:rPr>
        <w:t xml:space="preserve"> is</w:t>
      </w:r>
      <w:r w:rsidR="000D5544" w:rsidRPr="00A95D75">
        <w:rPr>
          <w:rFonts w:cstheme="minorHAnsi"/>
          <w:sz w:val="24"/>
          <w:szCs w:val="24"/>
        </w:rPr>
        <w:t xml:space="preserve"> substantial and sustained between Key Stage 2 and Key Stage 4 for all educational groups.</w:t>
      </w:r>
      <w:r w:rsidR="000D5544">
        <w:rPr>
          <w:rFonts w:cstheme="minorHAnsi"/>
          <w:sz w:val="24"/>
          <w:szCs w:val="24"/>
        </w:rPr>
        <w:t xml:space="preserve">  “Progress in English and Maths was in the top 20% nationally” (Ofsted 2019).</w:t>
      </w:r>
    </w:p>
    <w:p w14:paraId="0B6BCA1B" w14:textId="45C4A4E8" w:rsidR="000D5544" w:rsidRDefault="000D5544" w:rsidP="000D5544">
      <w:pPr>
        <w:pStyle w:val="NoSpacing"/>
        <w:rPr>
          <w:rFonts w:cstheme="minorHAnsi"/>
          <w:sz w:val="24"/>
          <w:szCs w:val="24"/>
        </w:rPr>
      </w:pPr>
    </w:p>
    <w:p w14:paraId="298A1A61" w14:textId="77777777" w:rsidR="00D958D5" w:rsidRPr="00AA3FF4" w:rsidRDefault="00D958D5" w:rsidP="00D958D5">
      <w:pPr>
        <w:pStyle w:val="Heading3"/>
        <w:pBdr>
          <w:bottom w:val="single" w:sz="18" w:space="1" w:color="808080"/>
        </w:pBdr>
        <w:spacing w:before="0" w:after="0" w:line="298" w:lineRule="auto"/>
        <w:rPr>
          <w:rFonts w:ascii="Arial" w:hAnsi="Arial" w:cs="Arial"/>
          <w:bCs w:val="0"/>
          <w:szCs w:val="22"/>
        </w:rPr>
      </w:pPr>
      <w:r>
        <w:rPr>
          <w:rFonts w:ascii="Arial" w:hAnsi="Arial" w:cs="Arial"/>
          <w:bCs w:val="0"/>
          <w:szCs w:val="22"/>
        </w:rPr>
        <w:t>Challenge and enjoyment</w:t>
      </w:r>
      <w:r w:rsidRPr="00AA3FF4">
        <w:rPr>
          <w:rFonts w:ascii="Arial" w:hAnsi="Arial" w:cs="Arial"/>
          <w:bCs w:val="0"/>
          <w:szCs w:val="22"/>
        </w:rPr>
        <w:t xml:space="preserve"> </w:t>
      </w:r>
    </w:p>
    <w:p w14:paraId="3222CA37" w14:textId="77777777" w:rsidR="00D958D5" w:rsidRDefault="00D958D5" w:rsidP="00D958D5">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p>
    <w:p w14:paraId="7BB464B0" w14:textId="77777777" w:rsidR="00D958D5" w:rsidRPr="002B2992" w:rsidRDefault="00D958D5" w:rsidP="00D958D5">
      <w:pPr>
        <w:spacing w:after="0"/>
        <w:rPr>
          <w:sz w:val="24"/>
          <w:szCs w:val="24"/>
        </w:rPr>
      </w:pPr>
      <w:r>
        <w:rPr>
          <w:rFonts w:ascii="Calibri" w:eastAsia="Times New Roman" w:hAnsi="Calibri" w:cs="Calibri"/>
          <w:sz w:val="24"/>
          <w:szCs w:val="24"/>
          <w:lang w:eastAsia="en-GB"/>
        </w:rPr>
        <w:t xml:space="preserve">Our curriculum recognises that progress and attainment are best achieved when there is challenge and enjoyment. </w:t>
      </w:r>
      <w:r w:rsidRPr="002B2992">
        <w:rPr>
          <w:sz w:val="24"/>
          <w:szCs w:val="24"/>
        </w:rPr>
        <w:t>The curriculum is regularly reviewed to ensure that the level of challenge is appropriate for all learners. Subject areas utilise carefully crafted Schemes of Learning which are differentiated to suit different levels of prior attainment, whilst ensuring that the curriculum is appropriately challenging to enable students to access aspirational targets (e.g. FFT 5%) by developing GCSE-style content and skills from Year 7. A balance of practical and non-practical subjects in specialist facilities, and creative schemes of learning and enrichment ensure variety and enjoyment across the curriculum.</w:t>
      </w:r>
    </w:p>
    <w:p w14:paraId="23F726CF" w14:textId="5B989476" w:rsidR="00D958D5" w:rsidRDefault="00D958D5" w:rsidP="000D5544">
      <w:pPr>
        <w:pStyle w:val="NoSpacing"/>
        <w:rPr>
          <w:rFonts w:cstheme="minorHAnsi"/>
          <w:sz w:val="24"/>
          <w:szCs w:val="24"/>
        </w:rPr>
      </w:pPr>
    </w:p>
    <w:p w14:paraId="78CF672D" w14:textId="4DDC4CA5" w:rsidR="00D958D5" w:rsidRPr="00AA3FF4" w:rsidRDefault="00D958D5" w:rsidP="00D958D5">
      <w:pPr>
        <w:pStyle w:val="Heading3"/>
        <w:pBdr>
          <w:bottom w:val="single" w:sz="18" w:space="1" w:color="808080"/>
        </w:pBdr>
        <w:spacing w:before="0" w:after="0" w:line="298" w:lineRule="auto"/>
        <w:rPr>
          <w:rFonts w:ascii="Arial" w:hAnsi="Arial" w:cs="Arial"/>
          <w:bCs w:val="0"/>
          <w:szCs w:val="22"/>
        </w:rPr>
      </w:pPr>
      <w:r>
        <w:rPr>
          <w:rFonts w:ascii="Arial" w:hAnsi="Arial" w:cs="Arial"/>
          <w:bCs w:val="0"/>
          <w:szCs w:val="22"/>
        </w:rPr>
        <w:lastRenderedPageBreak/>
        <w:t>Breadth and Balance</w:t>
      </w:r>
    </w:p>
    <w:p w14:paraId="2C8DC5F4" w14:textId="77777777" w:rsidR="00D958D5" w:rsidRDefault="00D958D5" w:rsidP="00D958D5">
      <w:pPr>
        <w:numPr>
          <w:ilvl w:val="12"/>
          <w:numId w:val="0"/>
        </w:numPr>
        <w:spacing w:after="0" w:line="240" w:lineRule="auto"/>
        <w:rPr>
          <w:rFonts w:ascii="Calibri" w:eastAsia="Times New Roman" w:hAnsi="Calibri" w:cs="Calibri"/>
          <w:sz w:val="24"/>
          <w:szCs w:val="24"/>
          <w:lang w:eastAsia="en-GB"/>
        </w:rPr>
      </w:pPr>
    </w:p>
    <w:p w14:paraId="55EFDBB6" w14:textId="77777777" w:rsidR="00D958D5" w:rsidRPr="002B2992" w:rsidRDefault="00D958D5" w:rsidP="00D958D5">
      <w:pPr>
        <w:spacing w:after="0"/>
        <w:rPr>
          <w:sz w:val="24"/>
          <w:szCs w:val="24"/>
        </w:rPr>
      </w:pPr>
      <w:r>
        <w:rPr>
          <w:sz w:val="24"/>
          <w:szCs w:val="24"/>
        </w:rPr>
        <w:t>W</w:t>
      </w:r>
      <w:r w:rsidRPr="002B2992">
        <w:rPr>
          <w:sz w:val="24"/>
          <w:szCs w:val="24"/>
        </w:rPr>
        <w:t>e believe in offering a broad and balanced cu</w:t>
      </w:r>
      <w:r>
        <w:rPr>
          <w:sz w:val="24"/>
          <w:szCs w:val="24"/>
        </w:rPr>
        <w:t>rriculum to all of our students, d</w:t>
      </w:r>
      <w:r w:rsidRPr="002B2992">
        <w:rPr>
          <w:sz w:val="24"/>
          <w:szCs w:val="24"/>
        </w:rPr>
        <w:t xml:space="preserve">espite the national trends towards reducing curriculum offerings (driven in part by </w:t>
      </w:r>
      <w:proofErr w:type="spellStart"/>
      <w:r w:rsidRPr="002B2992">
        <w:rPr>
          <w:sz w:val="24"/>
          <w:szCs w:val="24"/>
        </w:rPr>
        <w:t>Ebacc</w:t>
      </w:r>
      <w:proofErr w:type="spellEnd"/>
      <w:r w:rsidRPr="002B2992">
        <w:rPr>
          <w:sz w:val="24"/>
          <w:szCs w:val="24"/>
        </w:rPr>
        <w:t xml:space="preserve"> requirements and reducing school budgets), From Year 7, students study a range of 12 subjects, with the variety largely maintained through to the Year 9 options for GCSE courses. At GCSE, we believe that student choice is hugely important in engagement and achievement. Our options process includes surveys so that we are responsive to the needs of each cohort of learners, and option block manipulation to ensure that as many students as possible can study the combination of subjects that they choose.</w:t>
      </w:r>
    </w:p>
    <w:p w14:paraId="6DCCA630" w14:textId="77777777" w:rsidR="00D958D5" w:rsidRPr="002B2992" w:rsidRDefault="00D958D5" w:rsidP="00D958D5">
      <w:pPr>
        <w:spacing w:after="0"/>
        <w:rPr>
          <w:sz w:val="24"/>
          <w:szCs w:val="24"/>
        </w:rPr>
      </w:pPr>
    </w:p>
    <w:p w14:paraId="5F106DCE" w14:textId="77777777" w:rsidR="00D958D5" w:rsidRPr="002B2992" w:rsidRDefault="00D958D5" w:rsidP="00D958D5">
      <w:pPr>
        <w:spacing w:after="0"/>
        <w:rPr>
          <w:sz w:val="24"/>
          <w:szCs w:val="24"/>
        </w:rPr>
      </w:pPr>
      <w:r w:rsidRPr="002B2992">
        <w:rPr>
          <w:sz w:val="24"/>
          <w:szCs w:val="24"/>
        </w:rPr>
        <w:t xml:space="preserve">We believe it is important to ensure quality provision in addition to variety, and maintain a firm focus on the core: English, Maths and Science, to ensure enough curriculum time is dedicated to these areas. </w:t>
      </w:r>
    </w:p>
    <w:p w14:paraId="1451671C" w14:textId="77777777" w:rsidR="00D958D5" w:rsidRPr="002B2992" w:rsidRDefault="00D958D5" w:rsidP="00D958D5">
      <w:pPr>
        <w:pStyle w:val="ListParagraph"/>
        <w:spacing w:after="0"/>
        <w:rPr>
          <w:sz w:val="24"/>
          <w:szCs w:val="24"/>
        </w:rPr>
      </w:pPr>
    </w:p>
    <w:p w14:paraId="11ED4689" w14:textId="77777777" w:rsidR="00D958D5" w:rsidRPr="002B2992" w:rsidRDefault="00D958D5" w:rsidP="00D958D5">
      <w:pPr>
        <w:spacing w:after="0"/>
        <w:rPr>
          <w:sz w:val="24"/>
          <w:szCs w:val="24"/>
        </w:rPr>
      </w:pPr>
      <w:r w:rsidRPr="002B2992">
        <w:rPr>
          <w:sz w:val="24"/>
          <w:szCs w:val="24"/>
        </w:rPr>
        <w:t>“Life Long Learning” involves students developing personally, in addition to gaining the academic qualifications which will open doors for their future. We run a Citizenship curriculum in each year group, which is supported by a programme of assemblies and enrichment activities to develop life skills and character in our learners.</w:t>
      </w:r>
    </w:p>
    <w:p w14:paraId="56B7B36F" w14:textId="77777777" w:rsidR="00D958D5" w:rsidRPr="002B2992" w:rsidRDefault="00D958D5" w:rsidP="00D958D5">
      <w:pPr>
        <w:spacing w:after="0"/>
        <w:rPr>
          <w:sz w:val="24"/>
          <w:szCs w:val="24"/>
        </w:rPr>
      </w:pPr>
    </w:p>
    <w:p w14:paraId="606B95F8" w14:textId="77777777" w:rsidR="00D958D5" w:rsidRDefault="00D958D5" w:rsidP="00D958D5">
      <w:pPr>
        <w:numPr>
          <w:ilvl w:val="12"/>
          <w:numId w:val="0"/>
        </w:numPr>
        <w:spacing w:after="0" w:line="240" w:lineRule="auto"/>
        <w:rPr>
          <w:rFonts w:ascii="Calibri" w:eastAsia="Times New Roman" w:hAnsi="Calibri" w:cs="Calibri"/>
          <w:sz w:val="24"/>
          <w:szCs w:val="24"/>
          <w:lang w:eastAsia="en-GB"/>
        </w:rPr>
      </w:pPr>
    </w:p>
    <w:p w14:paraId="1A653379" w14:textId="77777777" w:rsidR="00D958D5" w:rsidRDefault="00D958D5" w:rsidP="00D958D5">
      <w:pPr>
        <w:numPr>
          <w:ilvl w:val="12"/>
          <w:numId w:val="0"/>
        </w:numPr>
        <w:spacing w:after="0" w:line="240" w:lineRule="auto"/>
        <w:rPr>
          <w:rFonts w:ascii="Calibri" w:eastAsia="Times New Roman" w:hAnsi="Calibri" w:cs="Calibri"/>
          <w:sz w:val="24"/>
          <w:szCs w:val="24"/>
          <w:lang w:eastAsia="en-GB"/>
        </w:rPr>
      </w:pPr>
    </w:p>
    <w:p w14:paraId="37745D68" w14:textId="2E5B2576" w:rsidR="00D958D5" w:rsidRPr="00AA3FF4" w:rsidRDefault="00D958D5" w:rsidP="00D958D5">
      <w:pPr>
        <w:numPr>
          <w:ilvl w:val="12"/>
          <w:numId w:val="0"/>
        </w:numPr>
        <w:spacing w:after="0" w:line="240" w:lineRule="auto"/>
        <w:rPr>
          <w:rFonts w:ascii="Calibri" w:eastAsia="Times New Roman" w:hAnsi="Calibri" w:cs="Calibri"/>
          <w:lang w:eastAsia="en-GB"/>
        </w:rPr>
      </w:pPr>
      <w:r w:rsidRPr="00B57EC0">
        <w:rPr>
          <w:rFonts w:ascii="Calibri" w:eastAsia="Times New Roman" w:hAnsi="Calibri" w:cs="Calibri"/>
          <w:lang w:eastAsia="en-GB"/>
        </w:rPr>
        <w:t xml:space="preserve">The time allocation for subjects at Key Stage 3 for </w:t>
      </w:r>
      <w:r>
        <w:rPr>
          <w:rFonts w:ascii="Calibri" w:eastAsia="Times New Roman" w:hAnsi="Calibri" w:cs="Calibri"/>
          <w:lang w:eastAsia="en-GB"/>
        </w:rPr>
        <w:t>20</w:t>
      </w:r>
      <w:r w:rsidR="00643712">
        <w:rPr>
          <w:rFonts w:ascii="Calibri" w:eastAsia="Times New Roman" w:hAnsi="Calibri" w:cs="Calibri"/>
          <w:lang w:eastAsia="en-GB"/>
        </w:rPr>
        <w:t>21-22</w:t>
      </w:r>
      <w:r w:rsidRPr="00B57EC0">
        <w:rPr>
          <w:rFonts w:ascii="Calibri" w:eastAsia="Times New Roman" w:hAnsi="Calibri" w:cs="Calibri"/>
          <w:lang w:eastAsia="en-GB"/>
        </w:rPr>
        <w:t xml:space="preserve"> is:</w:t>
      </w:r>
    </w:p>
    <w:p w14:paraId="06303E52" w14:textId="77777777" w:rsidR="00D958D5" w:rsidRPr="00215795" w:rsidRDefault="00D958D5" w:rsidP="00D958D5">
      <w:pPr>
        <w:numPr>
          <w:ilvl w:val="12"/>
          <w:numId w:val="0"/>
        </w:numPr>
        <w:spacing w:after="0" w:line="240" w:lineRule="auto"/>
        <w:rPr>
          <w:rFonts w:ascii="Calibri" w:eastAsia="Times New Roman" w:hAnsi="Calibri" w:cs="Calibri"/>
          <w:sz w:val="24"/>
          <w:szCs w:val="24"/>
          <w:lang w:eastAsia="en-GB"/>
        </w:rPr>
      </w:pPr>
    </w:p>
    <w:tbl>
      <w:tblPr>
        <w:tblW w:w="101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67"/>
        <w:gridCol w:w="2280"/>
        <w:gridCol w:w="2495"/>
        <w:gridCol w:w="2305"/>
      </w:tblGrid>
      <w:tr w:rsidR="00D958D5" w:rsidRPr="00215795" w14:paraId="5B030118" w14:textId="77777777" w:rsidTr="00000C48">
        <w:trPr>
          <w:jc w:val="center"/>
        </w:trPr>
        <w:tc>
          <w:tcPr>
            <w:tcW w:w="3067" w:type="dxa"/>
          </w:tcPr>
          <w:p w14:paraId="03D3739C" w14:textId="77777777" w:rsidR="00D958D5" w:rsidRPr="00B57EC0" w:rsidRDefault="00D958D5" w:rsidP="00000C48">
            <w:pPr>
              <w:numPr>
                <w:ilvl w:val="12"/>
                <w:numId w:val="0"/>
              </w:numPr>
              <w:spacing w:after="0" w:line="240" w:lineRule="auto"/>
              <w:rPr>
                <w:rFonts w:eastAsia="Times New Roman" w:cstheme="minorHAnsi"/>
                <w:b/>
                <w:lang w:eastAsia="en-GB"/>
              </w:rPr>
            </w:pPr>
            <w:r w:rsidRPr="00B57EC0">
              <w:rPr>
                <w:rFonts w:eastAsia="Times New Roman" w:cstheme="minorHAnsi"/>
                <w:b/>
                <w:lang w:eastAsia="en-GB"/>
              </w:rPr>
              <w:t>Subjects</w:t>
            </w:r>
          </w:p>
        </w:tc>
        <w:tc>
          <w:tcPr>
            <w:tcW w:w="2280" w:type="dxa"/>
          </w:tcPr>
          <w:p w14:paraId="6206D467" w14:textId="77777777" w:rsidR="00D958D5" w:rsidRPr="00B57EC0" w:rsidRDefault="00D958D5" w:rsidP="00000C48">
            <w:pPr>
              <w:numPr>
                <w:ilvl w:val="12"/>
                <w:numId w:val="0"/>
              </w:numPr>
              <w:spacing w:after="0" w:line="240" w:lineRule="auto"/>
              <w:jc w:val="center"/>
              <w:rPr>
                <w:rFonts w:eastAsia="Times New Roman" w:cstheme="minorHAnsi"/>
                <w:b/>
                <w:lang w:eastAsia="en-GB"/>
              </w:rPr>
            </w:pPr>
            <w:r w:rsidRPr="00B57EC0">
              <w:rPr>
                <w:rFonts w:eastAsia="Times New Roman" w:cstheme="minorHAnsi"/>
                <w:b/>
                <w:lang w:eastAsia="en-GB"/>
              </w:rPr>
              <w:t>Year 7</w:t>
            </w:r>
          </w:p>
        </w:tc>
        <w:tc>
          <w:tcPr>
            <w:tcW w:w="2495" w:type="dxa"/>
          </w:tcPr>
          <w:p w14:paraId="3B0F5E1E" w14:textId="77777777" w:rsidR="00D958D5" w:rsidRPr="00B57EC0" w:rsidRDefault="00D958D5" w:rsidP="00000C48">
            <w:pPr>
              <w:numPr>
                <w:ilvl w:val="12"/>
                <w:numId w:val="0"/>
              </w:numPr>
              <w:spacing w:after="0" w:line="240" w:lineRule="auto"/>
              <w:jc w:val="center"/>
              <w:rPr>
                <w:rFonts w:eastAsia="Times New Roman" w:cstheme="minorHAnsi"/>
                <w:b/>
                <w:lang w:eastAsia="en-GB"/>
              </w:rPr>
            </w:pPr>
            <w:r w:rsidRPr="00B57EC0">
              <w:rPr>
                <w:rFonts w:eastAsia="Times New Roman" w:cstheme="minorHAnsi"/>
                <w:b/>
                <w:lang w:eastAsia="en-GB"/>
              </w:rPr>
              <w:t>Year 8</w:t>
            </w:r>
          </w:p>
        </w:tc>
        <w:tc>
          <w:tcPr>
            <w:tcW w:w="2305" w:type="dxa"/>
          </w:tcPr>
          <w:p w14:paraId="579A718D" w14:textId="77777777" w:rsidR="00D958D5" w:rsidRPr="00B57EC0" w:rsidRDefault="00D958D5" w:rsidP="00000C48">
            <w:pPr>
              <w:numPr>
                <w:ilvl w:val="12"/>
                <w:numId w:val="0"/>
              </w:numPr>
              <w:spacing w:after="0" w:line="240" w:lineRule="auto"/>
              <w:jc w:val="center"/>
              <w:rPr>
                <w:rFonts w:eastAsia="Times New Roman" w:cstheme="minorHAnsi"/>
                <w:b/>
                <w:lang w:eastAsia="en-GB"/>
              </w:rPr>
            </w:pPr>
            <w:r w:rsidRPr="00B57EC0">
              <w:rPr>
                <w:rFonts w:eastAsia="Times New Roman" w:cstheme="minorHAnsi"/>
                <w:b/>
                <w:lang w:eastAsia="en-GB"/>
              </w:rPr>
              <w:t>Year 9</w:t>
            </w:r>
          </w:p>
        </w:tc>
      </w:tr>
      <w:tr w:rsidR="00D958D5" w:rsidRPr="00215795" w14:paraId="16CFDD85" w14:textId="77777777" w:rsidTr="00000C48">
        <w:trPr>
          <w:jc w:val="center"/>
        </w:trPr>
        <w:tc>
          <w:tcPr>
            <w:tcW w:w="3067" w:type="dxa"/>
          </w:tcPr>
          <w:p w14:paraId="1D4DCB84" w14:textId="77777777" w:rsidR="00D958D5" w:rsidRPr="00B57EC0" w:rsidRDefault="00D958D5" w:rsidP="00000C48">
            <w:pPr>
              <w:numPr>
                <w:ilvl w:val="12"/>
                <w:numId w:val="0"/>
              </w:numPr>
              <w:spacing w:after="0" w:line="240" w:lineRule="auto"/>
              <w:rPr>
                <w:rFonts w:eastAsia="Times New Roman" w:cstheme="minorHAnsi"/>
                <w:lang w:eastAsia="en-GB"/>
              </w:rPr>
            </w:pPr>
          </w:p>
        </w:tc>
        <w:tc>
          <w:tcPr>
            <w:tcW w:w="2280" w:type="dxa"/>
          </w:tcPr>
          <w:p w14:paraId="4C85399B"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No.</w:t>
            </w:r>
            <w:r>
              <w:rPr>
                <w:rFonts w:eastAsia="Times New Roman" w:cstheme="minorHAnsi"/>
                <w:lang w:eastAsia="en-GB"/>
              </w:rPr>
              <w:t xml:space="preserve"> of </w:t>
            </w:r>
            <w:r w:rsidRPr="00B57EC0">
              <w:rPr>
                <w:rFonts w:eastAsia="Times New Roman" w:cstheme="minorHAnsi"/>
                <w:lang w:eastAsia="en-GB"/>
              </w:rPr>
              <w:t xml:space="preserve">Periods </w:t>
            </w:r>
          </w:p>
        </w:tc>
        <w:tc>
          <w:tcPr>
            <w:tcW w:w="2495" w:type="dxa"/>
          </w:tcPr>
          <w:p w14:paraId="2DFFC10F"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No.</w:t>
            </w:r>
            <w:r>
              <w:rPr>
                <w:rFonts w:eastAsia="Times New Roman" w:cstheme="minorHAnsi"/>
                <w:lang w:eastAsia="en-GB"/>
              </w:rPr>
              <w:t xml:space="preserve"> of </w:t>
            </w:r>
            <w:r w:rsidRPr="00B57EC0">
              <w:rPr>
                <w:rFonts w:eastAsia="Times New Roman" w:cstheme="minorHAnsi"/>
                <w:lang w:eastAsia="en-GB"/>
              </w:rPr>
              <w:t xml:space="preserve">Periods </w:t>
            </w:r>
          </w:p>
        </w:tc>
        <w:tc>
          <w:tcPr>
            <w:tcW w:w="2305" w:type="dxa"/>
          </w:tcPr>
          <w:p w14:paraId="479E1672"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No.</w:t>
            </w:r>
            <w:r>
              <w:rPr>
                <w:rFonts w:eastAsia="Times New Roman" w:cstheme="minorHAnsi"/>
                <w:lang w:eastAsia="en-GB"/>
              </w:rPr>
              <w:t xml:space="preserve"> of </w:t>
            </w:r>
            <w:r w:rsidRPr="00B57EC0">
              <w:rPr>
                <w:rFonts w:eastAsia="Times New Roman" w:cstheme="minorHAnsi"/>
                <w:lang w:eastAsia="en-GB"/>
              </w:rPr>
              <w:t xml:space="preserve">Periods </w:t>
            </w:r>
          </w:p>
        </w:tc>
      </w:tr>
      <w:tr w:rsidR="00D958D5" w:rsidRPr="00215795" w14:paraId="0D6173D5" w14:textId="77777777" w:rsidTr="00000C48">
        <w:trPr>
          <w:jc w:val="center"/>
        </w:trPr>
        <w:tc>
          <w:tcPr>
            <w:tcW w:w="3067" w:type="dxa"/>
          </w:tcPr>
          <w:p w14:paraId="3F720372"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DT</w:t>
            </w:r>
          </w:p>
        </w:tc>
        <w:tc>
          <w:tcPr>
            <w:tcW w:w="2280" w:type="dxa"/>
          </w:tcPr>
          <w:p w14:paraId="13FAF4DF"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Pr>
                <w:rFonts w:eastAsia="Times New Roman" w:cstheme="minorHAnsi"/>
                <w:lang w:eastAsia="en-GB"/>
              </w:rPr>
              <w:t>2</w:t>
            </w:r>
          </w:p>
        </w:tc>
        <w:tc>
          <w:tcPr>
            <w:tcW w:w="2495" w:type="dxa"/>
          </w:tcPr>
          <w:p w14:paraId="1D90DB4B"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Pr>
                <w:rFonts w:eastAsia="Times New Roman" w:cstheme="minorHAnsi"/>
                <w:lang w:eastAsia="en-GB"/>
              </w:rPr>
              <w:t>2</w:t>
            </w:r>
          </w:p>
        </w:tc>
        <w:tc>
          <w:tcPr>
            <w:tcW w:w="2305" w:type="dxa"/>
          </w:tcPr>
          <w:p w14:paraId="59397C46"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Pr>
                <w:rFonts w:eastAsia="Times New Roman" w:cstheme="minorHAnsi"/>
                <w:lang w:eastAsia="en-GB"/>
              </w:rPr>
              <w:t>2</w:t>
            </w:r>
          </w:p>
        </w:tc>
      </w:tr>
      <w:tr w:rsidR="00D958D5" w:rsidRPr="00215795" w14:paraId="20261DFE" w14:textId="77777777" w:rsidTr="00000C48">
        <w:trPr>
          <w:jc w:val="center"/>
        </w:trPr>
        <w:tc>
          <w:tcPr>
            <w:tcW w:w="3067" w:type="dxa"/>
          </w:tcPr>
          <w:p w14:paraId="6EA56328"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Art</w:t>
            </w:r>
          </w:p>
        </w:tc>
        <w:tc>
          <w:tcPr>
            <w:tcW w:w="2280" w:type="dxa"/>
          </w:tcPr>
          <w:p w14:paraId="59D9D8E3"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Pr>
                <w:rFonts w:eastAsia="Times New Roman" w:cstheme="minorHAnsi"/>
                <w:lang w:eastAsia="en-GB"/>
              </w:rPr>
              <w:t>1</w:t>
            </w:r>
          </w:p>
        </w:tc>
        <w:tc>
          <w:tcPr>
            <w:tcW w:w="2495" w:type="dxa"/>
          </w:tcPr>
          <w:p w14:paraId="156250E9"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Pr>
                <w:rFonts w:eastAsia="Times New Roman" w:cstheme="minorHAnsi"/>
                <w:lang w:eastAsia="en-GB"/>
              </w:rPr>
              <w:t>1</w:t>
            </w:r>
          </w:p>
        </w:tc>
        <w:tc>
          <w:tcPr>
            <w:tcW w:w="2305" w:type="dxa"/>
          </w:tcPr>
          <w:p w14:paraId="77C6C951"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1</w:t>
            </w:r>
          </w:p>
        </w:tc>
      </w:tr>
      <w:tr w:rsidR="00D958D5" w:rsidRPr="00215795" w14:paraId="02DB88B7" w14:textId="77777777" w:rsidTr="00000C48">
        <w:trPr>
          <w:jc w:val="center"/>
        </w:trPr>
        <w:tc>
          <w:tcPr>
            <w:tcW w:w="3067" w:type="dxa"/>
          </w:tcPr>
          <w:p w14:paraId="71594C99"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English</w:t>
            </w:r>
          </w:p>
        </w:tc>
        <w:tc>
          <w:tcPr>
            <w:tcW w:w="2280" w:type="dxa"/>
          </w:tcPr>
          <w:p w14:paraId="09DC73AF"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3</w:t>
            </w:r>
          </w:p>
        </w:tc>
        <w:tc>
          <w:tcPr>
            <w:tcW w:w="2495" w:type="dxa"/>
          </w:tcPr>
          <w:p w14:paraId="694EBBD7"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3</w:t>
            </w:r>
          </w:p>
        </w:tc>
        <w:tc>
          <w:tcPr>
            <w:tcW w:w="2305" w:type="dxa"/>
          </w:tcPr>
          <w:p w14:paraId="0C891AF3"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Pr>
                <w:rFonts w:eastAsia="Times New Roman" w:cstheme="minorHAnsi"/>
                <w:lang w:eastAsia="en-GB"/>
              </w:rPr>
              <w:t>4</w:t>
            </w:r>
          </w:p>
        </w:tc>
      </w:tr>
      <w:tr w:rsidR="00D958D5" w:rsidRPr="00215795" w14:paraId="1F4431E9" w14:textId="77777777" w:rsidTr="00000C48">
        <w:trPr>
          <w:jc w:val="center"/>
        </w:trPr>
        <w:tc>
          <w:tcPr>
            <w:tcW w:w="3067" w:type="dxa"/>
          </w:tcPr>
          <w:p w14:paraId="3B187CF1"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Drama</w:t>
            </w:r>
          </w:p>
        </w:tc>
        <w:tc>
          <w:tcPr>
            <w:tcW w:w="2280" w:type="dxa"/>
          </w:tcPr>
          <w:p w14:paraId="357E06B1"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1</w:t>
            </w:r>
          </w:p>
        </w:tc>
        <w:tc>
          <w:tcPr>
            <w:tcW w:w="2495" w:type="dxa"/>
          </w:tcPr>
          <w:p w14:paraId="3ED37650"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1</w:t>
            </w:r>
          </w:p>
        </w:tc>
        <w:tc>
          <w:tcPr>
            <w:tcW w:w="2305" w:type="dxa"/>
          </w:tcPr>
          <w:p w14:paraId="516EB5E0"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0</w:t>
            </w:r>
          </w:p>
        </w:tc>
      </w:tr>
      <w:tr w:rsidR="00D958D5" w:rsidRPr="00215795" w14:paraId="62AF24CF" w14:textId="77777777" w:rsidTr="00000C48">
        <w:trPr>
          <w:jc w:val="center"/>
        </w:trPr>
        <w:tc>
          <w:tcPr>
            <w:tcW w:w="3067" w:type="dxa"/>
          </w:tcPr>
          <w:p w14:paraId="163B81D4"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Humanities</w:t>
            </w:r>
          </w:p>
        </w:tc>
        <w:tc>
          <w:tcPr>
            <w:tcW w:w="2280" w:type="dxa"/>
          </w:tcPr>
          <w:p w14:paraId="03F04EC0"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4</w:t>
            </w:r>
          </w:p>
        </w:tc>
        <w:tc>
          <w:tcPr>
            <w:tcW w:w="2495" w:type="dxa"/>
          </w:tcPr>
          <w:p w14:paraId="3509E016"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4</w:t>
            </w:r>
          </w:p>
        </w:tc>
        <w:tc>
          <w:tcPr>
            <w:tcW w:w="2305" w:type="dxa"/>
          </w:tcPr>
          <w:p w14:paraId="56E678A5"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4</w:t>
            </w:r>
          </w:p>
        </w:tc>
      </w:tr>
      <w:tr w:rsidR="00D958D5" w:rsidRPr="00215795" w14:paraId="1A780EDD" w14:textId="77777777" w:rsidTr="00000C48">
        <w:trPr>
          <w:jc w:val="center"/>
        </w:trPr>
        <w:tc>
          <w:tcPr>
            <w:tcW w:w="3067" w:type="dxa"/>
          </w:tcPr>
          <w:p w14:paraId="7424155A"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ICT</w:t>
            </w:r>
            <w:r>
              <w:rPr>
                <w:rFonts w:eastAsia="Times New Roman" w:cstheme="minorHAnsi"/>
                <w:lang w:eastAsia="en-GB"/>
              </w:rPr>
              <w:t>/Computing</w:t>
            </w:r>
          </w:p>
        </w:tc>
        <w:tc>
          <w:tcPr>
            <w:tcW w:w="2280" w:type="dxa"/>
          </w:tcPr>
          <w:p w14:paraId="27541D13"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2</w:t>
            </w:r>
          </w:p>
        </w:tc>
        <w:tc>
          <w:tcPr>
            <w:tcW w:w="2495" w:type="dxa"/>
          </w:tcPr>
          <w:p w14:paraId="60EC33A6"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1</w:t>
            </w:r>
          </w:p>
        </w:tc>
        <w:tc>
          <w:tcPr>
            <w:tcW w:w="2305" w:type="dxa"/>
          </w:tcPr>
          <w:p w14:paraId="608647A9"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Pr>
                <w:rFonts w:eastAsia="Times New Roman" w:cstheme="minorHAnsi"/>
                <w:lang w:eastAsia="en-GB"/>
              </w:rPr>
              <w:t>1</w:t>
            </w:r>
          </w:p>
        </w:tc>
      </w:tr>
      <w:tr w:rsidR="00D958D5" w:rsidRPr="00215795" w14:paraId="5623C24C" w14:textId="77777777" w:rsidTr="00000C48">
        <w:trPr>
          <w:jc w:val="center"/>
        </w:trPr>
        <w:tc>
          <w:tcPr>
            <w:tcW w:w="3067" w:type="dxa"/>
          </w:tcPr>
          <w:p w14:paraId="0ADF006A"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Mathematics</w:t>
            </w:r>
          </w:p>
        </w:tc>
        <w:tc>
          <w:tcPr>
            <w:tcW w:w="2280" w:type="dxa"/>
          </w:tcPr>
          <w:p w14:paraId="281FAAF7"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3</w:t>
            </w:r>
          </w:p>
        </w:tc>
        <w:tc>
          <w:tcPr>
            <w:tcW w:w="2495" w:type="dxa"/>
          </w:tcPr>
          <w:p w14:paraId="61EE9201"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3</w:t>
            </w:r>
          </w:p>
        </w:tc>
        <w:tc>
          <w:tcPr>
            <w:tcW w:w="2305" w:type="dxa"/>
          </w:tcPr>
          <w:p w14:paraId="18642D1F"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3</w:t>
            </w:r>
          </w:p>
        </w:tc>
      </w:tr>
      <w:tr w:rsidR="00D958D5" w:rsidRPr="00215795" w14:paraId="1EAC0F4E" w14:textId="77777777" w:rsidTr="00000C48">
        <w:trPr>
          <w:jc w:val="center"/>
        </w:trPr>
        <w:tc>
          <w:tcPr>
            <w:tcW w:w="3067" w:type="dxa"/>
          </w:tcPr>
          <w:p w14:paraId="34E1B4C1"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MFL</w:t>
            </w:r>
          </w:p>
        </w:tc>
        <w:tc>
          <w:tcPr>
            <w:tcW w:w="2280" w:type="dxa"/>
          </w:tcPr>
          <w:p w14:paraId="51E00D1B"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2</w:t>
            </w:r>
          </w:p>
        </w:tc>
        <w:tc>
          <w:tcPr>
            <w:tcW w:w="2495" w:type="dxa"/>
          </w:tcPr>
          <w:p w14:paraId="1B63991B"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3</w:t>
            </w:r>
          </w:p>
        </w:tc>
        <w:tc>
          <w:tcPr>
            <w:tcW w:w="2305" w:type="dxa"/>
          </w:tcPr>
          <w:p w14:paraId="56F5618C"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3</w:t>
            </w:r>
          </w:p>
        </w:tc>
      </w:tr>
      <w:tr w:rsidR="00D958D5" w:rsidRPr="00215795" w14:paraId="0D896ECB" w14:textId="77777777" w:rsidTr="00000C48">
        <w:trPr>
          <w:jc w:val="center"/>
        </w:trPr>
        <w:tc>
          <w:tcPr>
            <w:tcW w:w="3067" w:type="dxa"/>
          </w:tcPr>
          <w:p w14:paraId="49D3D5D6"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Music</w:t>
            </w:r>
          </w:p>
        </w:tc>
        <w:tc>
          <w:tcPr>
            <w:tcW w:w="2280" w:type="dxa"/>
          </w:tcPr>
          <w:p w14:paraId="5EBF5CEA"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1</w:t>
            </w:r>
          </w:p>
        </w:tc>
        <w:tc>
          <w:tcPr>
            <w:tcW w:w="2495" w:type="dxa"/>
          </w:tcPr>
          <w:p w14:paraId="6E5C659B"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1</w:t>
            </w:r>
          </w:p>
        </w:tc>
        <w:tc>
          <w:tcPr>
            <w:tcW w:w="2305" w:type="dxa"/>
          </w:tcPr>
          <w:p w14:paraId="69B2DB06"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1</w:t>
            </w:r>
          </w:p>
        </w:tc>
      </w:tr>
      <w:tr w:rsidR="00D958D5" w:rsidRPr="00215795" w14:paraId="0D8D02DC" w14:textId="77777777" w:rsidTr="00000C48">
        <w:trPr>
          <w:jc w:val="center"/>
        </w:trPr>
        <w:tc>
          <w:tcPr>
            <w:tcW w:w="3067" w:type="dxa"/>
          </w:tcPr>
          <w:p w14:paraId="6C6C0DA7"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PE</w:t>
            </w:r>
          </w:p>
        </w:tc>
        <w:tc>
          <w:tcPr>
            <w:tcW w:w="2280" w:type="dxa"/>
          </w:tcPr>
          <w:p w14:paraId="0854AA72"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2</w:t>
            </w:r>
          </w:p>
        </w:tc>
        <w:tc>
          <w:tcPr>
            <w:tcW w:w="2495" w:type="dxa"/>
          </w:tcPr>
          <w:p w14:paraId="331B84BF"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2</w:t>
            </w:r>
          </w:p>
        </w:tc>
        <w:tc>
          <w:tcPr>
            <w:tcW w:w="2305" w:type="dxa"/>
          </w:tcPr>
          <w:p w14:paraId="41C0691B"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2</w:t>
            </w:r>
          </w:p>
        </w:tc>
      </w:tr>
      <w:tr w:rsidR="00D958D5" w:rsidRPr="00215795" w14:paraId="6452D42D" w14:textId="77777777" w:rsidTr="00000C48">
        <w:trPr>
          <w:trHeight w:val="243"/>
          <w:jc w:val="center"/>
        </w:trPr>
        <w:tc>
          <w:tcPr>
            <w:tcW w:w="3067" w:type="dxa"/>
          </w:tcPr>
          <w:p w14:paraId="75B3616C"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Science</w:t>
            </w:r>
          </w:p>
        </w:tc>
        <w:tc>
          <w:tcPr>
            <w:tcW w:w="2280" w:type="dxa"/>
          </w:tcPr>
          <w:p w14:paraId="7DAD7294"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3</w:t>
            </w:r>
          </w:p>
        </w:tc>
        <w:tc>
          <w:tcPr>
            <w:tcW w:w="2495" w:type="dxa"/>
          </w:tcPr>
          <w:p w14:paraId="02118BD5"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3</w:t>
            </w:r>
          </w:p>
        </w:tc>
        <w:tc>
          <w:tcPr>
            <w:tcW w:w="2305" w:type="dxa"/>
          </w:tcPr>
          <w:p w14:paraId="762E2BCA"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3</w:t>
            </w:r>
          </w:p>
        </w:tc>
      </w:tr>
      <w:tr w:rsidR="00D958D5" w:rsidRPr="00215795" w14:paraId="1BF67CE3" w14:textId="77777777" w:rsidTr="00000C48">
        <w:trPr>
          <w:jc w:val="center"/>
        </w:trPr>
        <w:tc>
          <w:tcPr>
            <w:tcW w:w="3067" w:type="dxa"/>
          </w:tcPr>
          <w:p w14:paraId="58A2B390" w14:textId="77777777" w:rsidR="00D958D5" w:rsidRPr="00B57EC0" w:rsidRDefault="00D958D5" w:rsidP="00000C48">
            <w:pPr>
              <w:numPr>
                <w:ilvl w:val="12"/>
                <w:numId w:val="0"/>
              </w:numPr>
              <w:spacing w:after="0" w:line="240" w:lineRule="auto"/>
              <w:rPr>
                <w:rFonts w:eastAsia="Times New Roman" w:cstheme="minorHAnsi"/>
                <w:lang w:eastAsia="en-GB"/>
              </w:rPr>
            </w:pPr>
            <w:r w:rsidRPr="00B57EC0">
              <w:rPr>
                <w:rFonts w:eastAsia="Times New Roman" w:cstheme="minorHAnsi"/>
                <w:lang w:eastAsia="en-GB"/>
              </w:rPr>
              <w:t>Citizenship</w:t>
            </w:r>
          </w:p>
        </w:tc>
        <w:tc>
          <w:tcPr>
            <w:tcW w:w="2280" w:type="dxa"/>
          </w:tcPr>
          <w:p w14:paraId="74CF86C2"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1</w:t>
            </w:r>
          </w:p>
        </w:tc>
        <w:tc>
          <w:tcPr>
            <w:tcW w:w="2495" w:type="dxa"/>
          </w:tcPr>
          <w:p w14:paraId="5871AC72"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1</w:t>
            </w:r>
          </w:p>
        </w:tc>
        <w:tc>
          <w:tcPr>
            <w:tcW w:w="2305" w:type="dxa"/>
          </w:tcPr>
          <w:p w14:paraId="1BF187E1" w14:textId="77777777" w:rsidR="00D958D5" w:rsidRPr="00B57EC0" w:rsidRDefault="00D958D5" w:rsidP="00000C48">
            <w:pPr>
              <w:numPr>
                <w:ilvl w:val="12"/>
                <w:numId w:val="0"/>
              </w:numPr>
              <w:spacing w:after="0" w:line="240" w:lineRule="auto"/>
              <w:jc w:val="center"/>
              <w:rPr>
                <w:rFonts w:eastAsia="Times New Roman" w:cstheme="minorHAnsi"/>
                <w:lang w:eastAsia="en-GB"/>
              </w:rPr>
            </w:pPr>
            <w:r w:rsidRPr="00B57EC0">
              <w:rPr>
                <w:rFonts w:eastAsia="Times New Roman" w:cstheme="minorHAnsi"/>
                <w:lang w:eastAsia="en-GB"/>
              </w:rPr>
              <w:t>1</w:t>
            </w:r>
          </w:p>
        </w:tc>
      </w:tr>
      <w:tr w:rsidR="00D958D5" w:rsidRPr="00215795" w14:paraId="3B470C99" w14:textId="77777777" w:rsidTr="00000C48">
        <w:trPr>
          <w:jc w:val="center"/>
        </w:trPr>
        <w:tc>
          <w:tcPr>
            <w:tcW w:w="3067" w:type="dxa"/>
          </w:tcPr>
          <w:p w14:paraId="5A21C224" w14:textId="77777777" w:rsidR="00D958D5" w:rsidRPr="00B57EC0" w:rsidRDefault="00D958D5" w:rsidP="00000C48">
            <w:pPr>
              <w:numPr>
                <w:ilvl w:val="12"/>
                <w:numId w:val="0"/>
              </w:numPr>
              <w:spacing w:after="0" w:line="240" w:lineRule="auto"/>
              <w:rPr>
                <w:rFonts w:eastAsia="Times New Roman" w:cstheme="minorHAnsi"/>
                <w:b/>
                <w:lang w:eastAsia="en-GB"/>
              </w:rPr>
            </w:pPr>
            <w:r w:rsidRPr="00B57EC0">
              <w:rPr>
                <w:rFonts w:eastAsia="Times New Roman" w:cstheme="minorHAnsi"/>
                <w:b/>
                <w:lang w:eastAsia="en-GB"/>
              </w:rPr>
              <w:t>Total</w:t>
            </w:r>
          </w:p>
        </w:tc>
        <w:tc>
          <w:tcPr>
            <w:tcW w:w="2280" w:type="dxa"/>
          </w:tcPr>
          <w:p w14:paraId="5C21C953" w14:textId="77777777" w:rsidR="00D958D5" w:rsidRPr="00B57EC0" w:rsidRDefault="00D958D5" w:rsidP="00000C48">
            <w:pPr>
              <w:numPr>
                <w:ilvl w:val="12"/>
                <w:numId w:val="0"/>
              </w:numPr>
              <w:spacing w:after="0" w:line="240" w:lineRule="auto"/>
              <w:jc w:val="center"/>
              <w:rPr>
                <w:rFonts w:eastAsia="Times New Roman" w:cstheme="minorHAnsi"/>
                <w:b/>
                <w:lang w:eastAsia="en-GB"/>
              </w:rPr>
            </w:pPr>
            <w:r w:rsidRPr="00B57EC0">
              <w:rPr>
                <w:rFonts w:eastAsia="Times New Roman" w:cstheme="minorHAnsi"/>
                <w:b/>
                <w:lang w:eastAsia="en-GB"/>
              </w:rPr>
              <w:t>25</w:t>
            </w:r>
          </w:p>
        </w:tc>
        <w:tc>
          <w:tcPr>
            <w:tcW w:w="2495" w:type="dxa"/>
          </w:tcPr>
          <w:p w14:paraId="173564B9" w14:textId="77777777" w:rsidR="00D958D5" w:rsidRPr="00B57EC0" w:rsidRDefault="00D958D5" w:rsidP="00000C48">
            <w:pPr>
              <w:numPr>
                <w:ilvl w:val="12"/>
                <w:numId w:val="0"/>
              </w:numPr>
              <w:spacing w:after="0" w:line="240" w:lineRule="auto"/>
              <w:jc w:val="center"/>
              <w:rPr>
                <w:rFonts w:eastAsia="Times New Roman" w:cstheme="minorHAnsi"/>
                <w:b/>
                <w:lang w:eastAsia="en-GB"/>
              </w:rPr>
            </w:pPr>
            <w:r w:rsidRPr="00B57EC0">
              <w:rPr>
                <w:rFonts w:eastAsia="Times New Roman" w:cstheme="minorHAnsi"/>
                <w:b/>
                <w:lang w:eastAsia="en-GB"/>
              </w:rPr>
              <w:t>25</w:t>
            </w:r>
          </w:p>
        </w:tc>
        <w:tc>
          <w:tcPr>
            <w:tcW w:w="2305" w:type="dxa"/>
          </w:tcPr>
          <w:p w14:paraId="7665D270" w14:textId="77777777" w:rsidR="00D958D5" w:rsidRPr="00B57EC0" w:rsidRDefault="00D958D5" w:rsidP="00000C48">
            <w:pPr>
              <w:numPr>
                <w:ilvl w:val="12"/>
                <w:numId w:val="0"/>
              </w:numPr>
              <w:spacing w:after="0" w:line="240" w:lineRule="auto"/>
              <w:jc w:val="center"/>
              <w:rPr>
                <w:rFonts w:eastAsia="Times New Roman" w:cstheme="minorHAnsi"/>
                <w:b/>
                <w:lang w:eastAsia="en-GB"/>
              </w:rPr>
            </w:pPr>
            <w:r w:rsidRPr="00B57EC0">
              <w:rPr>
                <w:rFonts w:eastAsia="Times New Roman" w:cstheme="minorHAnsi"/>
                <w:b/>
                <w:lang w:eastAsia="en-GB"/>
              </w:rPr>
              <w:t>25</w:t>
            </w:r>
          </w:p>
        </w:tc>
      </w:tr>
    </w:tbl>
    <w:p w14:paraId="2FBB1171" w14:textId="77777777" w:rsidR="00D958D5" w:rsidRPr="00215795" w:rsidRDefault="00D958D5" w:rsidP="00D958D5">
      <w:pPr>
        <w:numPr>
          <w:ilvl w:val="12"/>
          <w:numId w:val="0"/>
        </w:numPr>
        <w:spacing w:after="0" w:line="240" w:lineRule="auto"/>
        <w:rPr>
          <w:rFonts w:ascii="Calibri" w:eastAsia="Times New Roman" w:hAnsi="Calibri" w:cs="Calibri"/>
          <w:sz w:val="24"/>
          <w:szCs w:val="24"/>
          <w:lang w:eastAsia="en-GB"/>
        </w:rPr>
      </w:pPr>
    </w:p>
    <w:p w14:paraId="3698D6F2" w14:textId="77777777" w:rsidR="00D958D5" w:rsidRPr="00215795" w:rsidRDefault="00D958D5" w:rsidP="00D958D5">
      <w:pPr>
        <w:numPr>
          <w:ilvl w:val="12"/>
          <w:numId w:val="0"/>
        </w:numPr>
        <w:spacing w:after="0" w:line="240" w:lineRule="auto"/>
        <w:rPr>
          <w:rFonts w:ascii="Calibri" w:eastAsia="Times New Roman" w:hAnsi="Calibri" w:cs="Calibri"/>
          <w:sz w:val="24"/>
          <w:szCs w:val="24"/>
          <w:lang w:eastAsia="en-GB"/>
        </w:rPr>
      </w:pPr>
    </w:p>
    <w:p w14:paraId="207AD2EA" w14:textId="77777777" w:rsidR="00D958D5" w:rsidRPr="00B57EC0" w:rsidRDefault="00D958D5" w:rsidP="00D958D5">
      <w:pPr>
        <w:numPr>
          <w:ilvl w:val="12"/>
          <w:numId w:val="0"/>
        </w:numPr>
        <w:spacing w:after="0" w:line="240" w:lineRule="auto"/>
        <w:rPr>
          <w:rFonts w:ascii="Calibri" w:eastAsia="Times New Roman" w:hAnsi="Calibri" w:cs="Calibri"/>
          <w:lang w:eastAsia="en-GB"/>
        </w:rPr>
      </w:pPr>
      <w:r w:rsidRPr="00B57EC0">
        <w:rPr>
          <w:rFonts w:ascii="Calibri" w:eastAsia="Times New Roman" w:hAnsi="Calibri" w:cs="Calibri"/>
          <w:lang w:eastAsia="en-GB"/>
        </w:rPr>
        <w:t>The Citizenship programme is delivered in one period per week throughout the year and is taught by the form tutor.</w:t>
      </w:r>
    </w:p>
    <w:p w14:paraId="22FA1C0C" w14:textId="77777777" w:rsidR="00D958D5" w:rsidRPr="00B57EC0" w:rsidRDefault="00D958D5" w:rsidP="00D958D5">
      <w:pPr>
        <w:numPr>
          <w:ilvl w:val="12"/>
          <w:numId w:val="0"/>
        </w:numPr>
        <w:spacing w:after="0" w:line="240" w:lineRule="auto"/>
        <w:rPr>
          <w:rFonts w:ascii="Calibri" w:eastAsia="Times New Roman" w:hAnsi="Calibri" w:cs="Calibri"/>
          <w:lang w:eastAsia="en-GB"/>
        </w:rPr>
      </w:pPr>
    </w:p>
    <w:p w14:paraId="7012C54F" w14:textId="77777777" w:rsidR="00D958D5" w:rsidRPr="00B57EC0" w:rsidRDefault="00D958D5" w:rsidP="00D958D5">
      <w:pPr>
        <w:numPr>
          <w:ilvl w:val="12"/>
          <w:numId w:val="0"/>
        </w:numPr>
        <w:spacing w:after="0" w:line="240" w:lineRule="auto"/>
        <w:rPr>
          <w:rFonts w:ascii="Calibri" w:eastAsia="Times New Roman" w:hAnsi="Calibri" w:cs="Calibri"/>
          <w:lang w:eastAsia="en-GB"/>
        </w:rPr>
      </w:pPr>
      <w:r w:rsidRPr="00B57EC0">
        <w:rPr>
          <w:rFonts w:ascii="Calibri" w:eastAsia="Times New Roman" w:hAnsi="Calibri" w:cs="Calibri"/>
          <w:lang w:eastAsia="en-GB"/>
        </w:rPr>
        <w:t>Modern Foreign Languages are:  French</w:t>
      </w:r>
      <w:r>
        <w:rPr>
          <w:rFonts w:ascii="Calibri" w:eastAsia="Times New Roman" w:hAnsi="Calibri" w:cs="Calibri"/>
          <w:lang w:eastAsia="en-GB"/>
        </w:rPr>
        <w:t>, Spanish</w:t>
      </w:r>
      <w:r w:rsidRPr="00B57EC0">
        <w:rPr>
          <w:rFonts w:ascii="Calibri" w:eastAsia="Times New Roman" w:hAnsi="Calibri" w:cs="Calibri"/>
          <w:lang w:eastAsia="en-GB"/>
        </w:rPr>
        <w:t xml:space="preserve"> or German in Years 7&amp;8 with </w:t>
      </w:r>
      <w:r>
        <w:rPr>
          <w:rFonts w:ascii="Calibri" w:eastAsia="Times New Roman" w:hAnsi="Calibri" w:cs="Calibri"/>
          <w:lang w:eastAsia="en-GB"/>
        </w:rPr>
        <w:t>a second language for more able linguists delivered through immersion weeks in Year 9.</w:t>
      </w:r>
    </w:p>
    <w:p w14:paraId="1B285672" w14:textId="77777777" w:rsidR="00D958D5" w:rsidRPr="00B57EC0" w:rsidRDefault="00D958D5" w:rsidP="00D958D5">
      <w:pPr>
        <w:numPr>
          <w:ilvl w:val="12"/>
          <w:numId w:val="0"/>
        </w:numPr>
        <w:spacing w:after="0" w:line="240" w:lineRule="auto"/>
        <w:rPr>
          <w:rFonts w:ascii="Calibri" w:eastAsia="Times New Roman" w:hAnsi="Calibri" w:cs="Calibri"/>
          <w:lang w:eastAsia="en-GB"/>
        </w:rPr>
      </w:pPr>
    </w:p>
    <w:p w14:paraId="758918DF" w14:textId="6BC12F4F" w:rsidR="00D958D5" w:rsidRPr="00B57EC0" w:rsidRDefault="00D958D5" w:rsidP="00D958D5">
      <w:pPr>
        <w:numPr>
          <w:ilvl w:val="12"/>
          <w:numId w:val="0"/>
        </w:numPr>
        <w:spacing w:after="0" w:line="240" w:lineRule="auto"/>
        <w:rPr>
          <w:rFonts w:ascii="Calibri" w:eastAsia="Times New Roman" w:hAnsi="Calibri" w:cs="Calibri"/>
          <w:lang w:eastAsia="en-GB"/>
        </w:rPr>
      </w:pPr>
      <w:r w:rsidRPr="00B57EC0">
        <w:rPr>
          <w:rFonts w:ascii="Calibri" w:eastAsia="Times New Roman" w:hAnsi="Calibri" w:cs="Calibri"/>
          <w:lang w:eastAsia="en-GB"/>
        </w:rPr>
        <w:t>The Key</w:t>
      </w:r>
      <w:r>
        <w:rPr>
          <w:rFonts w:ascii="Calibri" w:eastAsia="Times New Roman" w:hAnsi="Calibri" w:cs="Calibri"/>
          <w:lang w:eastAsia="en-GB"/>
        </w:rPr>
        <w:t xml:space="preserve"> </w:t>
      </w:r>
      <w:r w:rsidRPr="00B57EC0">
        <w:rPr>
          <w:rFonts w:ascii="Calibri" w:eastAsia="Times New Roman" w:hAnsi="Calibri" w:cs="Calibri"/>
          <w:lang w:eastAsia="en-GB"/>
        </w:rPr>
        <w:t>stage 4 curriculum is based on the core curriculum of English Language, English Literature, Maths, Citizenship, PE and double or triple Science, plus 3 option subjects.</w:t>
      </w:r>
    </w:p>
    <w:p w14:paraId="278C0B77" w14:textId="77777777" w:rsidR="00D958D5" w:rsidRDefault="00D958D5" w:rsidP="00D958D5">
      <w:pPr>
        <w:numPr>
          <w:ilvl w:val="12"/>
          <w:numId w:val="0"/>
        </w:numPr>
        <w:spacing w:after="0" w:line="240" w:lineRule="auto"/>
        <w:rPr>
          <w:rFonts w:ascii="Calibri" w:eastAsia="Times New Roman" w:hAnsi="Calibri" w:cs="Calibri"/>
          <w:sz w:val="24"/>
          <w:szCs w:val="24"/>
          <w:lang w:eastAsia="en-GB"/>
        </w:rPr>
      </w:pPr>
    </w:p>
    <w:p w14:paraId="42A08FCC" w14:textId="77777777" w:rsidR="00D958D5" w:rsidRPr="00B57EC0" w:rsidRDefault="00D958D5" w:rsidP="00D958D5">
      <w:pPr>
        <w:numPr>
          <w:ilvl w:val="12"/>
          <w:numId w:val="0"/>
        </w:numPr>
        <w:spacing w:after="0" w:line="240" w:lineRule="auto"/>
        <w:rPr>
          <w:rFonts w:ascii="Calibri" w:eastAsia="Times New Roman" w:hAnsi="Calibri" w:cs="Calibri"/>
          <w:lang w:eastAsia="en-GB"/>
        </w:rPr>
      </w:pPr>
      <w:r w:rsidRPr="00B57EC0">
        <w:rPr>
          <w:rFonts w:ascii="Calibri" w:eastAsia="Times New Roman" w:hAnsi="Calibri" w:cs="Calibri"/>
          <w:lang w:eastAsia="en-GB"/>
        </w:rPr>
        <w:t xml:space="preserve">In addition to provision of adequate time for each subject, we acknowledge the need to provide a balance of teaching styles and learning opportunities.  A programme of Curriculum Enrichment activities are offered to </w:t>
      </w:r>
      <w:r w:rsidRPr="00B57EC0">
        <w:rPr>
          <w:rFonts w:ascii="Calibri" w:eastAsia="Times New Roman" w:hAnsi="Calibri" w:cs="Calibri"/>
          <w:u w:val="single"/>
          <w:lang w:eastAsia="en-GB"/>
        </w:rPr>
        <w:t xml:space="preserve">all </w:t>
      </w:r>
      <w:r w:rsidRPr="00B57EC0">
        <w:rPr>
          <w:rFonts w:ascii="Calibri" w:eastAsia="Times New Roman" w:hAnsi="Calibri" w:cs="Calibri"/>
          <w:lang w:eastAsia="en-GB"/>
        </w:rPr>
        <w:t xml:space="preserve">students throughout the year through theme days, Citizenship and Challenge days. In this way, over the key stage, students have a variety of opportunities to experience and develop their capabilities as learners and the wherewithal to prepare for, and partake fully of, the curriculum at key stage 4. </w:t>
      </w:r>
    </w:p>
    <w:p w14:paraId="078454BA" w14:textId="7AB31F96" w:rsidR="00D958D5" w:rsidRDefault="00D958D5" w:rsidP="000D5544">
      <w:pPr>
        <w:pStyle w:val="NoSpacing"/>
        <w:rPr>
          <w:rFonts w:cstheme="minorHAnsi"/>
          <w:sz w:val="24"/>
          <w:szCs w:val="24"/>
        </w:rPr>
      </w:pPr>
    </w:p>
    <w:p w14:paraId="1062E950" w14:textId="29A0AC1F" w:rsidR="00745155" w:rsidRPr="00AA3FF4" w:rsidRDefault="00745155" w:rsidP="00745155">
      <w:pPr>
        <w:pStyle w:val="Heading3"/>
        <w:pBdr>
          <w:bottom w:val="single" w:sz="18" w:space="1" w:color="808080"/>
        </w:pBdr>
        <w:spacing w:before="0" w:after="0" w:line="298" w:lineRule="auto"/>
        <w:rPr>
          <w:rFonts w:ascii="Arial" w:hAnsi="Arial" w:cs="Arial"/>
          <w:bCs w:val="0"/>
          <w:szCs w:val="22"/>
        </w:rPr>
      </w:pPr>
      <w:r>
        <w:rPr>
          <w:rFonts w:ascii="Arial" w:hAnsi="Arial" w:cs="Arial"/>
          <w:bCs w:val="0"/>
          <w:szCs w:val="22"/>
        </w:rPr>
        <w:t>Equity and Personalisation</w:t>
      </w:r>
      <w:r w:rsidRPr="00AA3FF4">
        <w:rPr>
          <w:rFonts w:ascii="Arial" w:hAnsi="Arial" w:cs="Arial"/>
          <w:bCs w:val="0"/>
          <w:szCs w:val="22"/>
        </w:rPr>
        <w:t xml:space="preserve"> </w:t>
      </w:r>
    </w:p>
    <w:p w14:paraId="670044F9" w14:textId="3D9D6845" w:rsidR="00745155" w:rsidRDefault="00745155" w:rsidP="00B57EC0">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p>
    <w:p w14:paraId="361E708E" w14:textId="76D9AA72" w:rsidR="00C31D22" w:rsidRDefault="00D958D5" w:rsidP="00B57EC0">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B2992">
        <w:rPr>
          <w:sz w:val="24"/>
          <w:szCs w:val="24"/>
        </w:rPr>
        <w:t>We believe that all students should make excellent progress from their starting points, and that an appropriately designed curriculum will allow this to happen. For example, we have developed our vocational course offer each year to enable more of our SEND students to maintain a broad curriculum into KS4, whilst recognising that some students will benefit from Literacy and Numeracy support in KS3 in place of MFL</w:t>
      </w:r>
      <w:r w:rsidR="009C0AF5">
        <w:rPr>
          <w:sz w:val="24"/>
          <w:szCs w:val="24"/>
        </w:rPr>
        <w:t xml:space="preserve"> although these decisions are reviewed on an individual basis</w:t>
      </w:r>
      <w:r w:rsidRPr="002B2992">
        <w:rPr>
          <w:sz w:val="24"/>
          <w:szCs w:val="24"/>
        </w:rPr>
        <w:t>.</w:t>
      </w:r>
      <w:r>
        <w:rPr>
          <w:sz w:val="24"/>
          <w:szCs w:val="24"/>
        </w:rPr>
        <w:t xml:space="preserve">  </w:t>
      </w:r>
      <w:r w:rsidR="00C31D22">
        <w:rPr>
          <w:rFonts w:ascii="Calibri" w:eastAsia="Times New Roman" w:hAnsi="Calibri" w:cs="Calibri"/>
          <w:sz w:val="24"/>
          <w:szCs w:val="24"/>
          <w:lang w:eastAsia="en-GB"/>
        </w:rPr>
        <w:t xml:space="preserve">Through a wealth of options to suit all learners, flexibility surrounding the English Baccalaureate, and a variety of routes within departments, the curriculum is personalised for each learner.  The Options process enables students to select a curriculum based on their own future aspirations and intentions as well as their own abilities.  </w:t>
      </w:r>
      <w:r w:rsidR="001F0AF2">
        <w:rPr>
          <w:rFonts w:ascii="Calibri" w:eastAsia="Times New Roman" w:hAnsi="Calibri" w:cs="Calibri"/>
          <w:sz w:val="24"/>
          <w:szCs w:val="24"/>
          <w:lang w:eastAsia="en-GB"/>
        </w:rPr>
        <w:t>A variety of Vocational and more traditional subjects are offered, including the choice be</w:t>
      </w:r>
      <w:r w:rsidR="009C0AF5">
        <w:rPr>
          <w:rFonts w:ascii="Calibri" w:eastAsia="Times New Roman" w:hAnsi="Calibri" w:cs="Calibri"/>
          <w:sz w:val="24"/>
          <w:szCs w:val="24"/>
          <w:lang w:eastAsia="en-GB"/>
        </w:rPr>
        <w:t>tween GCSE PE or Sports Studies</w:t>
      </w:r>
      <w:r w:rsidR="001F0AF2">
        <w:rPr>
          <w:rFonts w:ascii="Calibri" w:eastAsia="Times New Roman" w:hAnsi="Calibri" w:cs="Calibri"/>
          <w:sz w:val="24"/>
          <w:szCs w:val="24"/>
          <w:lang w:eastAsia="en-GB"/>
        </w:rPr>
        <w:t xml:space="preserve">, </w:t>
      </w:r>
      <w:proofErr w:type="spellStart"/>
      <w:r w:rsidR="001F0AF2">
        <w:rPr>
          <w:rFonts w:ascii="Calibri" w:eastAsia="Times New Roman" w:hAnsi="Calibri" w:cs="Calibri"/>
          <w:sz w:val="24"/>
          <w:szCs w:val="24"/>
          <w:lang w:eastAsia="en-GB"/>
        </w:rPr>
        <w:t>iMedia</w:t>
      </w:r>
      <w:proofErr w:type="spellEnd"/>
      <w:r w:rsidR="001F0AF2">
        <w:rPr>
          <w:rFonts w:ascii="Calibri" w:eastAsia="Times New Roman" w:hAnsi="Calibri" w:cs="Calibri"/>
          <w:sz w:val="24"/>
          <w:szCs w:val="24"/>
          <w:lang w:eastAsia="en-GB"/>
        </w:rPr>
        <w:t xml:space="preserve"> or Computer Science GCSE, and the option to study Health and Social Care</w:t>
      </w:r>
      <w:r w:rsidR="009C0AF5">
        <w:rPr>
          <w:rFonts w:ascii="Calibri" w:eastAsia="Times New Roman" w:hAnsi="Calibri" w:cs="Calibri"/>
          <w:sz w:val="24"/>
          <w:szCs w:val="24"/>
          <w:lang w:eastAsia="en-GB"/>
        </w:rPr>
        <w:t xml:space="preserve"> and Engineering Design</w:t>
      </w:r>
      <w:r w:rsidR="001F0AF2">
        <w:rPr>
          <w:rFonts w:ascii="Calibri" w:eastAsia="Times New Roman" w:hAnsi="Calibri" w:cs="Calibri"/>
          <w:sz w:val="24"/>
          <w:szCs w:val="24"/>
          <w:lang w:eastAsia="en-GB"/>
        </w:rPr>
        <w:t>.</w:t>
      </w:r>
    </w:p>
    <w:p w14:paraId="5AB60079" w14:textId="7BC5C38E" w:rsidR="00745155" w:rsidRDefault="00C31D22" w:rsidP="00B57EC0">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curriculum is equitable to enable all to reach their full potential.  The establishment of a</w:t>
      </w:r>
      <w:r w:rsidR="009C0AF5">
        <w:rPr>
          <w:rFonts w:ascii="Calibri" w:eastAsia="Times New Roman" w:hAnsi="Calibri" w:cs="Calibri"/>
          <w:sz w:val="24"/>
          <w:szCs w:val="24"/>
          <w:lang w:eastAsia="en-GB"/>
        </w:rPr>
        <w:t xml:space="preserve"> modified curriculum to include a</w:t>
      </w:r>
      <w:r>
        <w:rPr>
          <w:rFonts w:ascii="Calibri" w:eastAsia="Times New Roman" w:hAnsi="Calibri" w:cs="Calibri"/>
          <w:sz w:val="24"/>
          <w:szCs w:val="24"/>
          <w:lang w:eastAsia="en-GB"/>
        </w:rPr>
        <w:t xml:space="preserve"> nurture group</w:t>
      </w:r>
      <w:r w:rsidR="009C0AF5">
        <w:rPr>
          <w:rFonts w:ascii="Calibri" w:eastAsia="Times New Roman" w:hAnsi="Calibri" w:cs="Calibri"/>
          <w:sz w:val="24"/>
          <w:szCs w:val="24"/>
          <w:lang w:eastAsia="en-GB"/>
        </w:rPr>
        <w:t xml:space="preserve"> in 2020</w:t>
      </w:r>
      <w:r>
        <w:rPr>
          <w:rFonts w:ascii="Calibri" w:eastAsia="Times New Roman" w:hAnsi="Calibri" w:cs="Calibri"/>
          <w:sz w:val="24"/>
          <w:szCs w:val="24"/>
          <w:lang w:eastAsia="en-GB"/>
        </w:rPr>
        <w:t xml:space="preserve"> and</w:t>
      </w:r>
      <w:r w:rsidR="009C0AF5">
        <w:rPr>
          <w:rFonts w:ascii="Calibri" w:eastAsia="Times New Roman" w:hAnsi="Calibri" w:cs="Calibri"/>
          <w:sz w:val="24"/>
          <w:szCs w:val="24"/>
          <w:lang w:eastAsia="en-GB"/>
        </w:rPr>
        <w:t xml:space="preserve"> the continuation of</w:t>
      </w:r>
      <w:r>
        <w:rPr>
          <w:rFonts w:ascii="Calibri" w:eastAsia="Times New Roman" w:hAnsi="Calibri" w:cs="Calibri"/>
          <w:sz w:val="24"/>
          <w:szCs w:val="24"/>
          <w:lang w:eastAsia="en-GB"/>
        </w:rPr>
        <w:t xml:space="preserve"> additional sessions in English and Maths for selected Year 7 students </w:t>
      </w:r>
      <w:r w:rsidR="001F0AF2">
        <w:rPr>
          <w:rFonts w:ascii="Calibri" w:eastAsia="Times New Roman" w:hAnsi="Calibri" w:cs="Calibri"/>
          <w:sz w:val="24"/>
          <w:szCs w:val="24"/>
          <w:lang w:eastAsia="en-GB"/>
        </w:rPr>
        <w:t>helps ensure those who have not reached their potential at primary school are supported to reach the national standard.</w:t>
      </w:r>
      <w:r>
        <w:rPr>
          <w:rFonts w:ascii="Calibri" w:eastAsia="Times New Roman" w:hAnsi="Calibri" w:cs="Calibri"/>
          <w:sz w:val="24"/>
          <w:szCs w:val="24"/>
          <w:lang w:eastAsia="en-GB"/>
        </w:rPr>
        <w:t xml:space="preserve"> </w:t>
      </w:r>
      <w:r w:rsidR="001F0AF2">
        <w:rPr>
          <w:rFonts w:ascii="Calibri" w:eastAsia="Times New Roman" w:hAnsi="Calibri" w:cs="Calibri"/>
          <w:sz w:val="24"/>
          <w:szCs w:val="24"/>
          <w:lang w:eastAsia="en-GB"/>
        </w:rPr>
        <w:t xml:space="preserve"> A</w:t>
      </w:r>
      <w:r>
        <w:rPr>
          <w:rFonts w:ascii="Calibri" w:eastAsia="Times New Roman" w:hAnsi="Calibri" w:cs="Calibri"/>
          <w:sz w:val="24"/>
          <w:szCs w:val="24"/>
          <w:lang w:eastAsia="en-GB"/>
        </w:rPr>
        <w:t xml:space="preserve"> focus on differentiation within teaching and learning </w:t>
      </w:r>
      <w:r w:rsidR="001F0AF2">
        <w:rPr>
          <w:rFonts w:ascii="Calibri" w:eastAsia="Times New Roman" w:hAnsi="Calibri" w:cs="Calibri"/>
          <w:sz w:val="24"/>
          <w:szCs w:val="24"/>
          <w:lang w:eastAsia="en-GB"/>
        </w:rPr>
        <w:t>includes a requirement to match curriculum to need as a performance management target for</w:t>
      </w:r>
      <w:r>
        <w:rPr>
          <w:rFonts w:ascii="Calibri" w:eastAsia="Times New Roman" w:hAnsi="Calibri" w:cs="Calibri"/>
          <w:sz w:val="24"/>
          <w:szCs w:val="24"/>
          <w:lang w:eastAsia="en-GB"/>
        </w:rPr>
        <w:t xml:space="preserve"> all teaching staff</w:t>
      </w:r>
      <w:r w:rsidR="001F0AF2">
        <w:rPr>
          <w:rFonts w:ascii="Calibri" w:eastAsia="Times New Roman" w:hAnsi="Calibri" w:cs="Calibri"/>
          <w:sz w:val="24"/>
          <w:szCs w:val="24"/>
          <w:lang w:eastAsia="en-GB"/>
        </w:rPr>
        <w:t xml:space="preserve">.  Students are set in English and Maths from Year 7 and other areas of the curriculum from Year 8.  </w:t>
      </w:r>
    </w:p>
    <w:p w14:paraId="13068B6B" w14:textId="67D52899" w:rsidR="00745155" w:rsidRDefault="001F0AF2" w:rsidP="00B57EC0">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Support in lessons is provided for EHCP and SEND K students by TAs and HLTAs. Additional support through Reading Buddies, Handwriting Club, Maths homework drop in, Maths at Breakfast, Breakfast Club, and interventions provides equity to the curriculum. </w:t>
      </w:r>
      <w:r w:rsidR="00DC5A29">
        <w:rPr>
          <w:rFonts w:ascii="Calibri" w:eastAsia="Times New Roman" w:hAnsi="Calibri" w:cs="Calibri"/>
          <w:sz w:val="24"/>
          <w:szCs w:val="24"/>
          <w:lang w:eastAsia="en-GB"/>
        </w:rPr>
        <w:t>Boost intervention is timetabled according to need for Year 11 students across all subjects throughout their final year.</w:t>
      </w:r>
    </w:p>
    <w:p w14:paraId="31030A1C" w14:textId="5CA7B02F" w:rsidR="00745155" w:rsidRDefault="00745155" w:rsidP="00B57EC0">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p>
    <w:p w14:paraId="315FE093" w14:textId="46373ED8" w:rsidR="00745155" w:rsidRDefault="00745155" w:rsidP="00B57EC0">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p>
    <w:p w14:paraId="5072BD55" w14:textId="77777777" w:rsidR="00745155" w:rsidRDefault="00745155" w:rsidP="00B57EC0">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p>
    <w:p w14:paraId="1A83FC9D" w14:textId="27E895E9" w:rsidR="00745155" w:rsidRPr="00AA3FF4" w:rsidRDefault="00745155" w:rsidP="00745155">
      <w:pPr>
        <w:pStyle w:val="Heading3"/>
        <w:pBdr>
          <w:bottom w:val="single" w:sz="18" w:space="1" w:color="808080"/>
        </w:pBdr>
        <w:spacing w:before="0" w:after="0" w:line="298" w:lineRule="auto"/>
        <w:rPr>
          <w:rFonts w:ascii="Arial" w:hAnsi="Arial" w:cs="Arial"/>
          <w:bCs w:val="0"/>
          <w:szCs w:val="22"/>
        </w:rPr>
      </w:pPr>
      <w:r>
        <w:rPr>
          <w:rFonts w:ascii="Arial" w:hAnsi="Arial" w:cs="Arial"/>
          <w:bCs w:val="0"/>
          <w:szCs w:val="22"/>
        </w:rPr>
        <w:t>Progression and Sequencing</w:t>
      </w:r>
      <w:r w:rsidRPr="00AA3FF4">
        <w:rPr>
          <w:rFonts w:ascii="Arial" w:hAnsi="Arial" w:cs="Arial"/>
          <w:bCs w:val="0"/>
          <w:szCs w:val="22"/>
        </w:rPr>
        <w:t xml:space="preserve"> </w:t>
      </w:r>
    </w:p>
    <w:p w14:paraId="20A62957" w14:textId="5CD6500D" w:rsidR="00745155" w:rsidRDefault="00745155" w:rsidP="00B57EC0">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p>
    <w:p w14:paraId="49657B08" w14:textId="3B953B95" w:rsidR="00745155" w:rsidRDefault="006E0090" w:rsidP="00B57EC0">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6E0090">
        <w:rPr>
          <w:rFonts w:ascii="Calibri" w:eastAsia="Times New Roman" w:hAnsi="Calibri" w:cs="Calibri"/>
          <w:sz w:val="24"/>
          <w:szCs w:val="24"/>
          <w:lang w:eastAsia="en-GB"/>
        </w:rPr>
        <w:t xml:space="preserve">The five-year curriculum </w:t>
      </w:r>
      <w:r w:rsidRPr="006E0090">
        <w:rPr>
          <w:rFonts w:ascii="Calibri" w:hAnsi="Calibri" w:cs="Calibri"/>
          <w:sz w:val="24"/>
          <w:szCs w:val="24"/>
        </w:rPr>
        <w:t xml:space="preserve">is clearly planned and sequenced over 5 years so that new knowledge and skills build on what has been taught before, towards clearly defined end points. Over 5 years, the key skills and knowledge for the core and foundation subjects are mapped out year on year to deepen and enrich students’ understanding of these subjects, allowing them to recall and apply this knowledge fluently. </w:t>
      </w:r>
      <w:r w:rsidR="00B63B91" w:rsidRPr="006E0090">
        <w:rPr>
          <w:rFonts w:ascii="Calibri" w:eastAsia="Times New Roman" w:hAnsi="Calibri" w:cs="Calibri"/>
          <w:sz w:val="24"/>
          <w:szCs w:val="24"/>
          <w:lang w:eastAsia="en-GB"/>
        </w:rPr>
        <w:t xml:space="preserve">Each department area has curriculum maps shared with all stakeholders showing implementation and </w:t>
      </w:r>
      <w:r w:rsidR="00B63B91">
        <w:rPr>
          <w:rFonts w:ascii="Calibri" w:eastAsia="Times New Roman" w:hAnsi="Calibri" w:cs="Calibri"/>
          <w:sz w:val="24"/>
          <w:szCs w:val="24"/>
          <w:lang w:eastAsia="en-GB"/>
        </w:rPr>
        <w:t xml:space="preserve">intent of each subject.  The progression through from Year 7 to Year 11 and beyond is clear with units of teaching linked </w:t>
      </w:r>
      <w:r w:rsidR="001F0AF2">
        <w:rPr>
          <w:rFonts w:ascii="Calibri" w:eastAsia="Times New Roman" w:hAnsi="Calibri" w:cs="Calibri"/>
          <w:sz w:val="24"/>
          <w:szCs w:val="24"/>
          <w:lang w:eastAsia="en-GB"/>
        </w:rPr>
        <w:t xml:space="preserve">by content and skill to show the journey learners take.  Intent is considered around GCSE criteria, British and International Values, and SMSC.  </w:t>
      </w:r>
      <w:r w:rsidR="00B63B91">
        <w:rPr>
          <w:rFonts w:ascii="Calibri" w:eastAsia="Times New Roman" w:hAnsi="Calibri" w:cs="Calibri"/>
          <w:sz w:val="24"/>
          <w:szCs w:val="24"/>
          <w:lang w:eastAsia="en-GB"/>
        </w:rPr>
        <w:t xml:space="preserve"> </w:t>
      </w:r>
      <w:r w:rsidR="00157E50">
        <w:rPr>
          <w:rFonts w:ascii="Calibri" w:eastAsia="Times New Roman" w:hAnsi="Calibri" w:cs="Calibri"/>
          <w:sz w:val="24"/>
          <w:szCs w:val="24"/>
          <w:lang w:eastAsia="en-GB"/>
        </w:rPr>
        <w:t xml:space="preserve">Overlap of content, knowledge, and skills is considered between departments to ensure logic to the sequencing of units of learning.  For example, Journey’s End, a play set in WWI, is studied in Year 9 shortly after the same students have studied WWI in History to support their understanding of the importance of context.  </w:t>
      </w:r>
    </w:p>
    <w:p w14:paraId="0999F505" w14:textId="6CEC0B74" w:rsidR="009C1ED5" w:rsidRPr="00AA3FF4" w:rsidRDefault="009C1ED5" w:rsidP="00B45352">
      <w:pPr>
        <w:keepNext/>
        <w:numPr>
          <w:ilvl w:val="12"/>
          <w:numId w:val="0"/>
        </w:numPr>
        <w:overflowPunct w:val="0"/>
        <w:autoSpaceDE w:val="0"/>
        <w:autoSpaceDN w:val="0"/>
        <w:adjustRightInd w:val="0"/>
        <w:spacing w:after="0" w:line="240" w:lineRule="auto"/>
        <w:textAlignment w:val="baseline"/>
        <w:outlineLvl w:val="0"/>
        <w:rPr>
          <w:rFonts w:ascii="Calibri" w:eastAsia="Times New Roman" w:hAnsi="Calibri" w:cs="Calibri"/>
          <w:b/>
          <w:sz w:val="24"/>
          <w:szCs w:val="24"/>
          <w:u w:val="single"/>
        </w:rPr>
      </w:pPr>
    </w:p>
    <w:p w14:paraId="45FF2A94" w14:textId="77777777" w:rsidR="00B45352" w:rsidRPr="00AA3FF4" w:rsidRDefault="00B45352" w:rsidP="00B45352">
      <w:pPr>
        <w:pStyle w:val="Heading3"/>
        <w:pBdr>
          <w:bottom w:val="single" w:sz="18" w:space="1" w:color="808080"/>
        </w:pBdr>
        <w:spacing w:before="0" w:after="0" w:line="298" w:lineRule="auto"/>
        <w:rPr>
          <w:rFonts w:ascii="Arial" w:hAnsi="Arial" w:cs="Arial"/>
          <w:bCs w:val="0"/>
          <w:szCs w:val="22"/>
        </w:rPr>
      </w:pPr>
      <w:r w:rsidRPr="00AA3FF4">
        <w:rPr>
          <w:rFonts w:ascii="Arial" w:hAnsi="Arial" w:cs="Arial"/>
          <w:bCs w:val="0"/>
          <w:szCs w:val="22"/>
        </w:rPr>
        <w:t xml:space="preserve">Preparing students for </w:t>
      </w:r>
      <w:r>
        <w:rPr>
          <w:rFonts w:ascii="Arial" w:hAnsi="Arial" w:cs="Arial"/>
          <w:bCs w:val="0"/>
          <w:szCs w:val="22"/>
        </w:rPr>
        <w:t xml:space="preserve">life, society and </w:t>
      </w:r>
      <w:r w:rsidRPr="00AA3FF4">
        <w:rPr>
          <w:rFonts w:ascii="Arial" w:hAnsi="Arial" w:cs="Arial"/>
          <w:bCs w:val="0"/>
          <w:szCs w:val="22"/>
        </w:rPr>
        <w:t>the world of work in the 21</w:t>
      </w:r>
      <w:r w:rsidRPr="00AA3FF4">
        <w:rPr>
          <w:rFonts w:ascii="Arial" w:hAnsi="Arial" w:cs="Arial"/>
          <w:bCs w:val="0"/>
          <w:szCs w:val="22"/>
          <w:vertAlign w:val="superscript"/>
        </w:rPr>
        <w:t>st</w:t>
      </w:r>
      <w:r w:rsidRPr="00AA3FF4">
        <w:rPr>
          <w:rFonts w:ascii="Arial" w:hAnsi="Arial" w:cs="Arial"/>
          <w:bCs w:val="0"/>
          <w:szCs w:val="22"/>
        </w:rPr>
        <w:t xml:space="preserve"> Century</w:t>
      </w:r>
    </w:p>
    <w:p w14:paraId="6911567D" w14:textId="77777777" w:rsidR="00B45352" w:rsidRDefault="00B45352" w:rsidP="00B45352">
      <w:pPr>
        <w:numPr>
          <w:ilvl w:val="12"/>
          <w:numId w:val="0"/>
        </w:numPr>
        <w:spacing w:after="0" w:line="240" w:lineRule="auto"/>
        <w:rPr>
          <w:rFonts w:ascii="Calibri" w:eastAsia="Times New Roman" w:hAnsi="Calibri" w:cs="Calibri"/>
          <w:sz w:val="24"/>
          <w:szCs w:val="24"/>
          <w:lang w:eastAsia="en-GB"/>
        </w:rPr>
      </w:pPr>
    </w:p>
    <w:p w14:paraId="592FFABC" w14:textId="62A599D9" w:rsidR="00B45352" w:rsidRPr="002B2992" w:rsidRDefault="00B45352" w:rsidP="00B45352">
      <w:pPr>
        <w:spacing w:after="0"/>
        <w:rPr>
          <w:sz w:val="24"/>
          <w:szCs w:val="24"/>
        </w:rPr>
      </w:pPr>
      <w:r w:rsidRPr="002B2992">
        <w:rPr>
          <w:sz w:val="24"/>
          <w:szCs w:val="24"/>
        </w:rPr>
        <w:t xml:space="preserve">Our curriculum responds to the changing demands of the current employment market. This is particularly reflected in our move towards Computer Science at both KS3 and KS4 where students are introduced to programming skills. We have also introduced an </w:t>
      </w:r>
      <w:r w:rsidR="00DC5A29">
        <w:rPr>
          <w:sz w:val="24"/>
          <w:szCs w:val="24"/>
        </w:rPr>
        <w:t>i</w:t>
      </w:r>
      <w:r w:rsidRPr="002B2992">
        <w:rPr>
          <w:sz w:val="24"/>
          <w:szCs w:val="24"/>
        </w:rPr>
        <w:t xml:space="preserve">Media course into our KS4 to enable students to develop current employability skills in this area, in addition to a vocational course in Sports Studies which has been introduced into the GCSE options for this first time this year. With growing numbers of students showing </w:t>
      </w:r>
      <w:r w:rsidRPr="002B2992">
        <w:rPr>
          <w:sz w:val="24"/>
          <w:szCs w:val="24"/>
        </w:rPr>
        <w:lastRenderedPageBreak/>
        <w:t xml:space="preserve">an interest in the Health Care industry, and a buoyant job </w:t>
      </w:r>
      <w:r>
        <w:rPr>
          <w:sz w:val="24"/>
          <w:szCs w:val="24"/>
        </w:rPr>
        <w:t>market within the sector, we have offered</w:t>
      </w:r>
      <w:r w:rsidRPr="002B2992">
        <w:rPr>
          <w:sz w:val="24"/>
          <w:szCs w:val="24"/>
        </w:rPr>
        <w:t xml:space="preserve"> Health and Social Care for the first time starting in September 2019.</w:t>
      </w:r>
    </w:p>
    <w:p w14:paraId="20B2EBC5" w14:textId="77777777" w:rsidR="00B45352" w:rsidRPr="002B2992" w:rsidRDefault="00B45352" w:rsidP="00B45352">
      <w:pPr>
        <w:spacing w:after="0"/>
        <w:rPr>
          <w:sz w:val="24"/>
          <w:szCs w:val="24"/>
        </w:rPr>
      </w:pPr>
    </w:p>
    <w:p w14:paraId="0B0BA682" w14:textId="734346DE" w:rsidR="00B45352" w:rsidRDefault="00B45352" w:rsidP="00B45352">
      <w:pPr>
        <w:numPr>
          <w:ilvl w:val="12"/>
          <w:numId w:val="0"/>
        </w:numPr>
        <w:spacing w:after="0" w:line="240" w:lineRule="auto"/>
        <w:rPr>
          <w:rFonts w:ascii="Calibri" w:eastAsia="Times New Roman" w:hAnsi="Calibri" w:cs="Calibri"/>
          <w:sz w:val="24"/>
          <w:szCs w:val="24"/>
          <w:lang w:eastAsia="en-GB"/>
        </w:rPr>
      </w:pPr>
      <w:r w:rsidRPr="002B2992">
        <w:rPr>
          <w:sz w:val="24"/>
          <w:szCs w:val="24"/>
        </w:rPr>
        <w:t>Our curriculum is also enriched through a Work Experience programme at the end of Year 10, in addition to careers interviews and a careers fair to help students develop an understanding of how the skills they are learning through the curriculum can be applied in the world of work.</w:t>
      </w:r>
    </w:p>
    <w:p w14:paraId="58FF76B5" w14:textId="77777777" w:rsidR="00B45352" w:rsidRDefault="00B45352" w:rsidP="00B45352">
      <w:pPr>
        <w:numPr>
          <w:ilvl w:val="12"/>
          <w:numId w:val="0"/>
        </w:numPr>
        <w:spacing w:after="0" w:line="240" w:lineRule="auto"/>
        <w:rPr>
          <w:rFonts w:ascii="Calibri" w:eastAsia="Times New Roman" w:hAnsi="Calibri" w:cs="Calibri"/>
          <w:sz w:val="24"/>
          <w:szCs w:val="24"/>
          <w:lang w:eastAsia="en-GB"/>
        </w:rPr>
      </w:pPr>
    </w:p>
    <w:p w14:paraId="5B79E168" w14:textId="77777777" w:rsidR="00B45352" w:rsidRPr="00AA3FF4" w:rsidRDefault="00B45352" w:rsidP="00B45352">
      <w:pPr>
        <w:pStyle w:val="Heading3"/>
        <w:pBdr>
          <w:bottom w:val="single" w:sz="18" w:space="1" w:color="808080"/>
        </w:pBdr>
        <w:spacing w:before="0" w:after="0" w:line="298" w:lineRule="auto"/>
        <w:rPr>
          <w:rFonts w:ascii="Arial" w:hAnsi="Arial" w:cs="Arial"/>
          <w:bCs w:val="0"/>
          <w:szCs w:val="22"/>
        </w:rPr>
      </w:pPr>
      <w:r>
        <w:rPr>
          <w:rFonts w:ascii="Arial" w:hAnsi="Arial" w:cs="Arial"/>
          <w:bCs w:val="0"/>
          <w:szCs w:val="22"/>
        </w:rPr>
        <w:t>Developing the whole child through SMSC and British Values</w:t>
      </w:r>
    </w:p>
    <w:p w14:paraId="6DC942F2" w14:textId="77777777" w:rsidR="00B45352" w:rsidRDefault="00B45352" w:rsidP="00B45352">
      <w:pPr>
        <w:numPr>
          <w:ilvl w:val="12"/>
          <w:numId w:val="0"/>
        </w:numPr>
        <w:spacing w:after="0" w:line="240" w:lineRule="auto"/>
        <w:rPr>
          <w:rFonts w:ascii="Calibri" w:eastAsia="Times New Roman" w:hAnsi="Calibri" w:cs="Calibri"/>
          <w:sz w:val="24"/>
          <w:szCs w:val="24"/>
          <w:lang w:eastAsia="en-GB"/>
        </w:rPr>
      </w:pPr>
    </w:p>
    <w:p w14:paraId="5D1A3AE5" w14:textId="56567B80" w:rsidR="00B45352" w:rsidRDefault="00FB4F5A" w:rsidP="00B45352">
      <w:pPr>
        <w:numPr>
          <w:ilvl w:val="12"/>
          <w:numId w:val="0"/>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development of a five-year Citizenship curriculum with a focus on SMSC ensures the whole child is considered.  </w:t>
      </w:r>
      <w:r w:rsidR="00DC5A29">
        <w:rPr>
          <w:rFonts w:ascii="Calibri" w:eastAsia="Times New Roman" w:hAnsi="Calibri" w:cs="Calibri"/>
          <w:sz w:val="24"/>
          <w:szCs w:val="24"/>
          <w:lang w:eastAsia="en-GB"/>
        </w:rPr>
        <w:t xml:space="preserve">This include PHSE and SRE as well as finance, the world of jobs, and being a good citizen.  </w:t>
      </w:r>
      <w:r w:rsidR="006E0090">
        <w:rPr>
          <w:rFonts w:ascii="Calibri" w:eastAsia="Times New Roman" w:hAnsi="Calibri" w:cs="Calibri"/>
          <w:sz w:val="24"/>
          <w:szCs w:val="24"/>
          <w:lang w:eastAsia="en-GB"/>
        </w:rPr>
        <w:t xml:space="preserve">Each departmental rationale shows the consideration of the whole child through SMSC and British Values.  </w:t>
      </w:r>
      <w:r w:rsidR="009C0AF5">
        <w:rPr>
          <w:rFonts w:ascii="Calibri" w:eastAsia="Times New Roman" w:hAnsi="Calibri" w:cs="Calibri"/>
          <w:sz w:val="24"/>
          <w:szCs w:val="24"/>
          <w:lang w:eastAsia="en-GB"/>
        </w:rPr>
        <w:t>A five year curriculum map for PHSE and Citizenship shows the journey students take through topics such as human rights, the world of work, and the health and well-being of ourselves and others.  Additionally, subjects such as RE and English Literature explore SMSC and values and this can be evidenced in the relevant curriculum maps.  The assembly plan for the year ensures students have a wealth of topics and support through internal speakers and guest presenters.  To recognise the importance of British Values and giving to others, a number of charity events are organised throughout the year and each school house has a charity of the year.</w:t>
      </w:r>
    </w:p>
    <w:p w14:paraId="52523C21" w14:textId="1E1BB305" w:rsidR="00B45352" w:rsidRDefault="00B45352" w:rsidP="00B45352">
      <w:pPr>
        <w:numPr>
          <w:ilvl w:val="12"/>
          <w:numId w:val="0"/>
        </w:numPr>
        <w:spacing w:after="0" w:line="240" w:lineRule="auto"/>
        <w:rPr>
          <w:rFonts w:ascii="Calibri" w:eastAsia="Times New Roman" w:hAnsi="Calibri" w:cs="Calibri"/>
          <w:sz w:val="24"/>
          <w:szCs w:val="24"/>
          <w:lang w:eastAsia="en-GB"/>
        </w:rPr>
      </w:pPr>
    </w:p>
    <w:p w14:paraId="16E04B0B" w14:textId="79B8FE59" w:rsidR="009C0AF5" w:rsidRDefault="009C0AF5" w:rsidP="009C0AF5">
      <w:pPr>
        <w:spacing w:after="0" w:line="240" w:lineRule="auto"/>
        <w:rPr>
          <w:rFonts w:ascii="Calibri" w:eastAsia="Times New Roman" w:hAnsi="Calibri" w:cs="Calibri"/>
          <w:sz w:val="24"/>
          <w:szCs w:val="24"/>
          <w:lang w:eastAsia="en-GB"/>
        </w:rPr>
      </w:pPr>
    </w:p>
    <w:p w14:paraId="159A4DE3" w14:textId="757EC093" w:rsidR="009C0AF5" w:rsidRPr="009C0AF5" w:rsidRDefault="009C0AF5" w:rsidP="009C0AF5">
      <w:pPr>
        <w:spacing w:after="0" w:line="240" w:lineRule="auto"/>
        <w:rPr>
          <w:rFonts w:ascii="Calibri" w:eastAsia="Times New Roman" w:hAnsi="Calibri" w:cs="Calibri"/>
          <w:sz w:val="24"/>
          <w:szCs w:val="24"/>
          <w:lang w:eastAsia="en-GB"/>
        </w:rPr>
      </w:pPr>
    </w:p>
    <w:p w14:paraId="35206978" w14:textId="77777777" w:rsidR="00B45352" w:rsidRDefault="00B45352" w:rsidP="00B45352">
      <w:pPr>
        <w:numPr>
          <w:ilvl w:val="12"/>
          <w:numId w:val="0"/>
        </w:numPr>
        <w:spacing w:after="0" w:line="240" w:lineRule="auto"/>
        <w:rPr>
          <w:rFonts w:ascii="Calibri" w:eastAsia="Times New Roman" w:hAnsi="Calibri" w:cs="Calibri"/>
          <w:sz w:val="24"/>
          <w:szCs w:val="24"/>
          <w:lang w:eastAsia="en-GB"/>
        </w:rPr>
      </w:pPr>
    </w:p>
    <w:p w14:paraId="377AEA53" w14:textId="77777777" w:rsidR="00B45352" w:rsidRDefault="00B45352" w:rsidP="00B45352">
      <w:pPr>
        <w:pStyle w:val="Heading3"/>
        <w:pBdr>
          <w:bottom w:val="single" w:sz="18" w:space="1" w:color="808080"/>
        </w:pBdr>
        <w:spacing w:before="0" w:after="0" w:line="298" w:lineRule="auto"/>
        <w:rPr>
          <w:rFonts w:ascii="Arial" w:hAnsi="Arial" w:cs="Arial"/>
          <w:bCs w:val="0"/>
          <w:szCs w:val="22"/>
        </w:rPr>
      </w:pPr>
      <w:r>
        <w:rPr>
          <w:rFonts w:ascii="Arial" w:hAnsi="Arial" w:cs="Arial"/>
          <w:bCs w:val="0"/>
          <w:szCs w:val="22"/>
        </w:rPr>
        <w:t>Providing an enriching, multifaceted education</w:t>
      </w:r>
    </w:p>
    <w:p w14:paraId="017C41CE" w14:textId="77777777" w:rsidR="00B45352" w:rsidRDefault="00B45352" w:rsidP="00B45352">
      <w:pPr>
        <w:rPr>
          <w:lang w:eastAsia="en-GB"/>
        </w:rPr>
      </w:pPr>
    </w:p>
    <w:p w14:paraId="42C8977D" w14:textId="073A1B55" w:rsidR="00B45352" w:rsidRDefault="006E0090" w:rsidP="00DC5A29">
      <w:pPr>
        <w:rPr>
          <w:rFonts w:ascii="Calibri" w:eastAsia="Times New Roman" w:hAnsi="Calibri" w:cs="Calibri"/>
          <w:sz w:val="24"/>
          <w:szCs w:val="24"/>
          <w:lang w:eastAsia="en-GB"/>
        </w:rPr>
      </w:pPr>
      <w:r>
        <w:rPr>
          <w:lang w:eastAsia="en-GB"/>
        </w:rPr>
        <w:t xml:space="preserve">Extra-curricular provision supports and enhances the main curriculum and is open to all students.  During their time at WPA, students will have the opportunity to attend a wealth of clubs including sports, music, writing, digital leaders.  Similarly, a wealth of day trips and residentials are offered across the UK and Europe including Language and culture trips, skiing weeks, </w:t>
      </w:r>
      <w:r w:rsidR="00DC5A29">
        <w:rPr>
          <w:lang w:eastAsia="en-GB"/>
        </w:rPr>
        <w:t xml:space="preserve">field trips, science, museum, and theatre visits.  All of this supports the rich variety of learning offered in the classroom.  </w:t>
      </w:r>
    </w:p>
    <w:p w14:paraId="24685CFF" w14:textId="77777777" w:rsidR="00B45352" w:rsidRDefault="00B45352" w:rsidP="00B45352">
      <w:pPr>
        <w:numPr>
          <w:ilvl w:val="12"/>
          <w:numId w:val="0"/>
        </w:numPr>
        <w:spacing w:after="0" w:line="240" w:lineRule="auto"/>
        <w:rPr>
          <w:rFonts w:ascii="Calibri" w:eastAsia="Times New Roman" w:hAnsi="Calibri" w:cs="Calibri"/>
          <w:sz w:val="24"/>
          <w:szCs w:val="24"/>
          <w:lang w:eastAsia="en-GB"/>
        </w:rPr>
      </w:pPr>
    </w:p>
    <w:p w14:paraId="3C8D73DA" w14:textId="284E2E61" w:rsidR="009C0AF5" w:rsidRPr="00AA3FF4" w:rsidRDefault="009C0AF5" w:rsidP="009C0AF5">
      <w:pPr>
        <w:pStyle w:val="Heading3"/>
        <w:pBdr>
          <w:bottom w:val="single" w:sz="18" w:space="1" w:color="808080"/>
        </w:pBdr>
        <w:spacing w:before="0" w:after="0" w:line="298" w:lineRule="auto"/>
        <w:rPr>
          <w:rFonts w:ascii="Arial" w:hAnsi="Arial" w:cs="Arial"/>
          <w:bCs w:val="0"/>
          <w:szCs w:val="22"/>
        </w:rPr>
      </w:pPr>
      <w:r>
        <w:rPr>
          <w:rFonts w:ascii="Arial" w:hAnsi="Arial" w:cs="Arial"/>
          <w:bCs w:val="0"/>
          <w:szCs w:val="22"/>
        </w:rPr>
        <w:t>Evaluations and Reviews</w:t>
      </w:r>
    </w:p>
    <w:p w14:paraId="76D7D657" w14:textId="22DF485C" w:rsidR="009C0AF5" w:rsidRDefault="009C0AF5" w:rsidP="00AA3FF4">
      <w:pPr>
        <w:rPr>
          <w:lang w:eastAsia="en-GB"/>
        </w:rPr>
      </w:pPr>
    </w:p>
    <w:p w14:paraId="5737547D" w14:textId="77777777" w:rsidR="009C0AF5" w:rsidRPr="00DC5A29" w:rsidRDefault="009C0AF5" w:rsidP="009C0AF5">
      <w:pPr>
        <w:numPr>
          <w:ilvl w:val="12"/>
          <w:numId w:val="0"/>
        </w:numPr>
        <w:spacing w:after="0" w:line="240" w:lineRule="auto"/>
        <w:rPr>
          <w:rFonts w:ascii="Calibri" w:eastAsia="Times New Roman" w:hAnsi="Calibri" w:cs="Calibri"/>
          <w:sz w:val="24"/>
          <w:szCs w:val="24"/>
          <w:lang w:eastAsia="en-GB"/>
        </w:rPr>
      </w:pPr>
      <w:r w:rsidRPr="00DC5A29">
        <w:rPr>
          <w:rFonts w:ascii="Calibri" w:eastAsia="Times New Roman" w:hAnsi="Calibri" w:cs="Calibri"/>
          <w:sz w:val="24"/>
          <w:szCs w:val="24"/>
          <w:lang w:eastAsia="en-GB"/>
        </w:rPr>
        <w:t>To ensure our curriculum continues to meet the needs of our students, we will conduct regular evaluation and</w:t>
      </w:r>
      <w:r>
        <w:rPr>
          <w:rFonts w:ascii="Calibri" w:eastAsia="Times New Roman" w:hAnsi="Calibri" w:cs="Calibri"/>
          <w:sz w:val="24"/>
          <w:szCs w:val="24"/>
          <w:lang w:eastAsia="en-GB"/>
        </w:rPr>
        <w:t xml:space="preserve"> </w:t>
      </w:r>
      <w:r w:rsidRPr="00DC5A29">
        <w:rPr>
          <w:rFonts w:ascii="Calibri" w:eastAsia="Times New Roman" w:hAnsi="Calibri" w:cs="Calibri"/>
          <w:sz w:val="24"/>
          <w:szCs w:val="24"/>
          <w:lang w:eastAsia="en-GB"/>
        </w:rPr>
        <w:t>review activities, including:</w:t>
      </w:r>
    </w:p>
    <w:p w14:paraId="00B11F19" w14:textId="77777777" w:rsidR="009C0AF5" w:rsidRPr="00DC5A29" w:rsidRDefault="009C0AF5" w:rsidP="009C0AF5">
      <w:pPr>
        <w:pStyle w:val="ListParagraph"/>
        <w:numPr>
          <w:ilvl w:val="0"/>
          <w:numId w:val="3"/>
        </w:numPr>
        <w:spacing w:after="0" w:line="240" w:lineRule="auto"/>
        <w:rPr>
          <w:rFonts w:ascii="Calibri" w:eastAsia="Times New Roman" w:hAnsi="Calibri" w:cs="Calibri"/>
          <w:sz w:val="24"/>
          <w:szCs w:val="24"/>
          <w:lang w:eastAsia="en-GB"/>
        </w:rPr>
      </w:pPr>
      <w:r w:rsidRPr="00DC5A29">
        <w:rPr>
          <w:rFonts w:ascii="Calibri" w:eastAsia="Times New Roman" w:hAnsi="Calibri" w:cs="Calibri"/>
          <w:sz w:val="24"/>
          <w:szCs w:val="24"/>
          <w:lang w:eastAsia="en-GB"/>
        </w:rPr>
        <w:t>Data analysis of whole school and qualification performance</w:t>
      </w:r>
    </w:p>
    <w:p w14:paraId="2602B3D6" w14:textId="77777777" w:rsidR="009C0AF5" w:rsidRPr="00DC5A29" w:rsidRDefault="009C0AF5" w:rsidP="009C0AF5">
      <w:pPr>
        <w:pStyle w:val="ListParagraph"/>
        <w:numPr>
          <w:ilvl w:val="0"/>
          <w:numId w:val="3"/>
        </w:numPr>
        <w:spacing w:after="0" w:line="240" w:lineRule="auto"/>
        <w:rPr>
          <w:rFonts w:ascii="Calibri" w:eastAsia="Times New Roman" w:hAnsi="Calibri" w:cs="Calibri"/>
          <w:sz w:val="24"/>
          <w:szCs w:val="24"/>
          <w:lang w:eastAsia="en-GB"/>
        </w:rPr>
      </w:pPr>
      <w:r w:rsidRPr="00DC5A29">
        <w:rPr>
          <w:rFonts w:ascii="Calibri" w:eastAsia="Times New Roman" w:hAnsi="Calibri" w:cs="Calibri"/>
          <w:sz w:val="24"/>
          <w:szCs w:val="24"/>
          <w:lang w:eastAsia="en-GB"/>
        </w:rPr>
        <w:t>Internal assessment data</w:t>
      </w:r>
    </w:p>
    <w:p w14:paraId="50B9E399" w14:textId="1BC641C6" w:rsidR="009C0AF5" w:rsidRPr="00DC5A29" w:rsidRDefault="009C0AF5" w:rsidP="009C0AF5">
      <w:pPr>
        <w:pStyle w:val="ListParagraph"/>
        <w:numPr>
          <w:ilvl w:val="0"/>
          <w:numId w:val="3"/>
        </w:numPr>
        <w:spacing w:after="0" w:line="240" w:lineRule="auto"/>
        <w:rPr>
          <w:rFonts w:ascii="Calibri" w:eastAsia="Times New Roman" w:hAnsi="Calibri" w:cs="Calibri"/>
          <w:sz w:val="24"/>
          <w:szCs w:val="24"/>
          <w:lang w:eastAsia="en-GB"/>
        </w:rPr>
      </w:pPr>
      <w:r w:rsidRPr="00DC5A29">
        <w:rPr>
          <w:rFonts w:ascii="Calibri" w:eastAsia="Times New Roman" w:hAnsi="Calibri" w:cs="Calibri"/>
          <w:sz w:val="24"/>
          <w:szCs w:val="24"/>
          <w:lang w:eastAsia="en-GB"/>
        </w:rPr>
        <w:t>Outcomes for disadvantaged students and those with SEN</w:t>
      </w:r>
      <w:r w:rsidR="008910E4">
        <w:rPr>
          <w:rFonts w:ascii="Calibri" w:eastAsia="Times New Roman" w:hAnsi="Calibri" w:cs="Calibri"/>
          <w:sz w:val="24"/>
          <w:szCs w:val="24"/>
          <w:lang w:eastAsia="en-GB"/>
        </w:rPr>
        <w:t>D</w:t>
      </w:r>
    </w:p>
    <w:p w14:paraId="065D352C" w14:textId="77777777" w:rsidR="009C0AF5" w:rsidRDefault="009C0AF5" w:rsidP="009C0AF5">
      <w:pPr>
        <w:pStyle w:val="ListParagraph"/>
        <w:numPr>
          <w:ilvl w:val="0"/>
          <w:numId w:val="3"/>
        </w:numPr>
        <w:spacing w:after="0" w:line="240" w:lineRule="auto"/>
        <w:rPr>
          <w:rFonts w:ascii="Calibri" w:eastAsia="Times New Roman" w:hAnsi="Calibri" w:cs="Calibri"/>
          <w:sz w:val="24"/>
          <w:szCs w:val="24"/>
          <w:lang w:eastAsia="en-GB"/>
        </w:rPr>
      </w:pPr>
      <w:r w:rsidRPr="00DC5A29">
        <w:rPr>
          <w:rFonts w:ascii="Calibri" w:eastAsia="Times New Roman" w:hAnsi="Calibri" w:cs="Calibri"/>
          <w:sz w:val="24"/>
          <w:szCs w:val="24"/>
          <w:lang w:eastAsia="en-GB"/>
        </w:rPr>
        <w:t>Outcomes for students who receive catch-up funding support</w:t>
      </w:r>
    </w:p>
    <w:p w14:paraId="40CD86D7" w14:textId="77777777" w:rsidR="009C0AF5" w:rsidRPr="00DC5A29" w:rsidRDefault="009C0AF5" w:rsidP="009C0AF5">
      <w:pPr>
        <w:pStyle w:val="ListParagraph"/>
        <w:numPr>
          <w:ilvl w:val="0"/>
          <w:numId w:val="3"/>
        </w:numPr>
        <w:spacing w:after="0" w:line="240" w:lineRule="auto"/>
        <w:rPr>
          <w:rFonts w:ascii="Calibri" w:eastAsia="Times New Roman" w:hAnsi="Calibri" w:cs="Calibri"/>
          <w:sz w:val="24"/>
          <w:szCs w:val="24"/>
          <w:lang w:eastAsia="en-GB"/>
        </w:rPr>
      </w:pPr>
      <w:r w:rsidRPr="00DC5A29">
        <w:rPr>
          <w:rFonts w:ascii="Calibri" w:eastAsia="Times New Roman" w:hAnsi="Calibri" w:cs="Calibri"/>
          <w:sz w:val="24"/>
          <w:szCs w:val="24"/>
          <w:lang w:eastAsia="en-GB"/>
        </w:rPr>
        <w:t>Destination data for our students</w:t>
      </w:r>
    </w:p>
    <w:p w14:paraId="27BAC63E" w14:textId="77777777" w:rsidR="009C0AF5" w:rsidRPr="00DC5A29" w:rsidRDefault="009C0AF5" w:rsidP="009C0AF5">
      <w:pPr>
        <w:pStyle w:val="ListParagraph"/>
        <w:numPr>
          <w:ilvl w:val="0"/>
          <w:numId w:val="3"/>
        </w:numPr>
        <w:spacing w:after="0" w:line="240" w:lineRule="auto"/>
        <w:rPr>
          <w:rFonts w:ascii="Calibri" w:eastAsia="Times New Roman" w:hAnsi="Calibri" w:cs="Calibri"/>
          <w:sz w:val="24"/>
          <w:szCs w:val="24"/>
          <w:lang w:eastAsia="en-GB"/>
        </w:rPr>
      </w:pPr>
      <w:r w:rsidRPr="00DC5A29">
        <w:rPr>
          <w:rFonts w:ascii="Calibri" w:eastAsia="Times New Roman" w:hAnsi="Calibri" w:cs="Calibri"/>
          <w:sz w:val="24"/>
          <w:szCs w:val="24"/>
          <w:lang w:eastAsia="en-GB"/>
        </w:rPr>
        <w:t xml:space="preserve">Lesson observations, learning walks, departmental reviews and work </w:t>
      </w:r>
      <w:proofErr w:type="spellStart"/>
      <w:r w:rsidRPr="00DC5A29">
        <w:rPr>
          <w:rFonts w:ascii="Calibri" w:eastAsia="Times New Roman" w:hAnsi="Calibri" w:cs="Calibri"/>
          <w:sz w:val="24"/>
          <w:szCs w:val="24"/>
          <w:lang w:eastAsia="en-GB"/>
        </w:rPr>
        <w:t>scrutinies</w:t>
      </w:r>
      <w:proofErr w:type="spellEnd"/>
    </w:p>
    <w:p w14:paraId="4353EDB9" w14:textId="77777777" w:rsidR="009C0AF5" w:rsidRPr="00DC5A29" w:rsidRDefault="009C0AF5" w:rsidP="009C0AF5">
      <w:pPr>
        <w:pStyle w:val="ListParagraph"/>
        <w:numPr>
          <w:ilvl w:val="0"/>
          <w:numId w:val="3"/>
        </w:numPr>
        <w:spacing w:after="0" w:line="240" w:lineRule="auto"/>
        <w:rPr>
          <w:rFonts w:ascii="Calibri" w:eastAsia="Times New Roman" w:hAnsi="Calibri" w:cs="Calibri"/>
          <w:sz w:val="24"/>
          <w:szCs w:val="24"/>
          <w:lang w:eastAsia="en-GB"/>
        </w:rPr>
      </w:pPr>
      <w:r w:rsidRPr="00DC5A29">
        <w:rPr>
          <w:rFonts w:ascii="Calibri" w:eastAsia="Times New Roman" w:hAnsi="Calibri" w:cs="Calibri"/>
          <w:sz w:val="24"/>
          <w:szCs w:val="24"/>
          <w:lang w:eastAsia="en-GB"/>
        </w:rPr>
        <w:t>Staff, student and parent voice activities</w:t>
      </w:r>
    </w:p>
    <w:p w14:paraId="05D3AAB4" w14:textId="77777777" w:rsidR="009C0AF5" w:rsidRPr="00DC5A29" w:rsidRDefault="009C0AF5" w:rsidP="009C0AF5">
      <w:pPr>
        <w:pStyle w:val="ListParagraph"/>
        <w:numPr>
          <w:ilvl w:val="0"/>
          <w:numId w:val="3"/>
        </w:numPr>
        <w:spacing w:after="0" w:line="240" w:lineRule="auto"/>
        <w:rPr>
          <w:rFonts w:ascii="Calibri" w:eastAsia="Times New Roman" w:hAnsi="Calibri" w:cs="Calibri"/>
          <w:sz w:val="24"/>
          <w:szCs w:val="24"/>
          <w:lang w:eastAsia="en-GB"/>
        </w:rPr>
      </w:pPr>
      <w:r w:rsidRPr="00DC5A29">
        <w:rPr>
          <w:rFonts w:ascii="Calibri" w:eastAsia="Times New Roman" w:hAnsi="Calibri" w:cs="Calibri"/>
          <w:sz w:val="24"/>
          <w:szCs w:val="24"/>
          <w:lang w:eastAsia="en-GB"/>
        </w:rPr>
        <w:t>Student attendance monitoring and intervention</w:t>
      </w:r>
    </w:p>
    <w:p w14:paraId="6AE7BC7F" w14:textId="24485C5C" w:rsidR="009C0AF5" w:rsidRPr="00AA3FF4" w:rsidRDefault="009C0AF5" w:rsidP="007C7075">
      <w:pPr>
        <w:pStyle w:val="ListParagraph"/>
        <w:numPr>
          <w:ilvl w:val="0"/>
          <w:numId w:val="3"/>
        </w:numPr>
        <w:rPr>
          <w:lang w:eastAsia="en-GB"/>
        </w:rPr>
        <w:sectPr w:rsidR="009C0AF5" w:rsidRPr="00AA3FF4" w:rsidSect="00B57EC0">
          <w:headerReference w:type="first" r:id="rId9"/>
          <w:footerReference w:type="first" r:id="rId10"/>
          <w:pgSz w:w="11906" w:h="16838"/>
          <w:pgMar w:top="720" w:right="720" w:bottom="720" w:left="720" w:header="708" w:footer="708" w:gutter="0"/>
          <w:cols w:space="708"/>
          <w:titlePg/>
          <w:docGrid w:linePitch="360"/>
        </w:sectPr>
      </w:pPr>
      <w:r w:rsidRPr="007C7075">
        <w:rPr>
          <w:rFonts w:ascii="Calibri" w:eastAsia="Times New Roman" w:hAnsi="Calibri" w:cs="Calibri"/>
          <w:sz w:val="24"/>
          <w:szCs w:val="24"/>
          <w:lang w:eastAsia="en-GB"/>
        </w:rPr>
        <w:t>Student behaviour monitoring and intervention</w:t>
      </w:r>
      <w:r w:rsidRPr="007C7075">
        <w:rPr>
          <w:rFonts w:ascii="Calibri" w:eastAsia="Times New Roman" w:hAnsi="Calibri" w:cs="Calibri"/>
          <w:sz w:val="24"/>
          <w:szCs w:val="24"/>
          <w:lang w:eastAsia="en-GB"/>
        </w:rPr>
        <w:cr/>
      </w:r>
    </w:p>
    <w:p w14:paraId="6FAF10FB"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r>
        <w:rPr>
          <w:rFonts w:ascii="Calibri" w:eastAsia="Times New Roman" w:hAnsi="Calibri" w:cs="Calibri"/>
          <w:noProof/>
          <w:sz w:val="24"/>
          <w:szCs w:val="24"/>
          <w:lang w:eastAsia="en-GB"/>
        </w:rPr>
        <w:lastRenderedPageBreak/>
        <w:drawing>
          <wp:anchor distT="0" distB="0" distL="114300" distR="114300" simplePos="0" relativeHeight="251659264" behindDoc="0" locked="0" layoutInCell="1" allowOverlap="1" wp14:anchorId="413D698A" wp14:editId="6C06B97C">
            <wp:simplePos x="0" y="0"/>
            <wp:positionH relativeFrom="column">
              <wp:posOffset>-710065</wp:posOffset>
            </wp:positionH>
            <wp:positionV relativeFrom="paragraph">
              <wp:posOffset>-826770</wp:posOffset>
            </wp:positionV>
            <wp:extent cx="10340502" cy="7310517"/>
            <wp:effectExtent l="0" t="0" r="381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4currplan.jpg"/>
                    <pic:cNvPicPr/>
                  </pic:nvPicPr>
                  <pic:blipFill>
                    <a:blip r:embed="rId11">
                      <a:extLst>
                        <a:ext uri="{28A0092B-C50C-407E-A947-70E740481C1C}">
                          <a14:useLocalDpi xmlns:a14="http://schemas.microsoft.com/office/drawing/2010/main" val="0"/>
                        </a:ext>
                      </a:extLst>
                    </a:blip>
                    <a:stretch>
                      <a:fillRect/>
                    </a:stretch>
                  </pic:blipFill>
                  <pic:spPr>
                    <a:xfrm>
                      <a:off x="0" y="0"/>
                      <a:ext cx="10340502" cy="7310517"/>
                    </a:xfrm>
                    <a:prstGeom prst="rect">
                      <a:avLst/>
                    </a:prstGeom>
                  </pic:spPr>
                </pic:pic>
              </a:graphicData>
            </a:graphic>
            <wp14:sizeRelH relativeFrom="page">
              <wp14:pctWidth>0</wp14:pctWidth>
            </wp14:sizeRelH>
            <wp14:sizeRelV relativeFrom="page">
              <wp14:pctHeight>0</wp14:pctHeight>
            </wp14:sizeRelV>
          </wp:anchor>
        </w:drawing>
      </w:r>
    </w:p>
    <w:p w14:paraId="2A2B5ABB"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5C4480FD"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4B154792"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0A6787D4"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40D2970C"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69F988B0"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24FDC645"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36AC01FC"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7FD4EDDF"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26B66F3C"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3FD627F0"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15C7058C"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0F2C79CB"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3849217C"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6896697C"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6D59B946"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26259C9B"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0BF5A8A0"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6A52AC15"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00A0970C"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2BCF4CAD"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4ABD4DDC"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5B60BB10"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28F53792"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62619EF3"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561BB1FC"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7F87E4FD"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1B68B2F3" w14:textId="77777777" w:rsidR="00B57EC0" w:rsidRDefault="00B57EC0" w:rsidP="00B57EC0">
      <w:pPr>
        <w:numPr>
          <w:ilvl w:val="12"/>
          <w:numId w:val="0"/>
        </w:numPr>
        <w:spacing w:after="0" w:line="240" w:lineRule="auto"/>
        <w:rPr>
          <w:rFonts w:ascii="Calibri" w:eastAsia="Times New Roman" w:hAnsi="Calibri" w:cs="Calibri"/>
          <w:sz w:val="24"/>
          <w:szCs w:val="24"/>
          <w:lang w:eastAsia="en-GB"/>
        </w:rPr>
      </w:pPr>
    </w:p>
    <w:p w14:paraId="691A58AC" w14:textId="4671CD1E" w:rsidR="00B57EC0" w:rsidRDefault="00B57EC0" w:rsidP="00B57EC0">
      <w:pPr>
        <w:numPr>
          <w:ilvl w:val="12"/>
          <w:numId w:val="0"/>
        </w:numPr>
        <w:spacing w:after="0" w:line="240" w:lineRule="auto"/>
        <w:rPr>
          <w:rFonts w:ascii="Calibri" w:eastAsia="Times New Roman" w:hAnsi="Calibri" w:cs="Calibri"/>
          <w:sz w:val="24"/>
          <w:szCs w:val="24"/>
          <w:lang w:eastAsia="en-GB"/>
        </w:rPr>
        <w:sectPr w:rsidR="00B57EC0" w:rsidSect="00DE4830">
          <w:pgSz w:w="16838" w:h="11906" w:orient="landscape" w:code="9"/>
          <w:pgMar w:top="1440" w:right="1440" w:bottom="1440" w:left="1440" w:header="709" w:footer="709" w:gutter="0"/>
          <w:cols w:space="708"/>
          <w:docGrid w:linePitch="360"/>
        </w:sectPr>
      </w:pPr>
    </w:p>
    <w:p w14:paraId="2A482324" w14:textId="68029743" w:rsidR="00AA3FF4" w:rsidRPr="002B2992" w:rsidRDefault="00AA3FF4" w:rsidP="009C0AF5">
      <w:pPr>
        <w:pStyle w:val="Heading3"/>
        <w:pBdr>
          <w:bottom w:val="single" w:sz="18" w:space="1" w:color="808080"/>
        </w:pBdr>
        <w:spacing w:before="0" w:after="0" w:line="298" w:lineRule="auto"/>
        <w:rPr>
          <w:sz w:val="24"/>
          <w:szCs w:val="24"/>
        </w:rPr>
      </w:pPr>
    </w:p>
    <w:sectPr w:rsidR="00AA3FF4" w:rsidRPr="002B2992" w:rsidSect="00164946">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E91A" w14:textId="77777777" w:rsidR="00794246" w:rsidRDefault="00794246" w:rsidP="00794246">
      <w:pPr>
        <w:spacing w:after="0" w:line="240" w:lineRule="auto"/>
      </w:pPr>
      <w:r>
        <w:separator/>
      </w:r>
    </w:p>
  </w:endnote>
  <w:endnote w:type="continuationSeparator" w:id="0">
    <w:p w14:paraId="62FD45E5"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56CC" w14:textId="77777777" w:rsidR="00896163" w:rsidRDefault="00896163">
    <w:pPr>
      <w:pStyle w:val="Footer"/>
    </w:pPr>
    <w:r w:rsidRPr="00C41375">
      <w:rPr>
        <w:noProof/>
        <w:lang w:eastAsia="en-GB"/>
      </w:rPr>
      <mc:AlternateContent>
        <mc:Choice Requires="wps">
          <w:drawing>
            <wp:anchor distT="0" distB="0" distL="114300" distR="114300" simplePos="0" relativeHeight="251667456" behindDoc="0" locked="0" layoutInCell="1" allowOverlap="1" wp14:anchorId="5BF37AE2" wp14:editId="26BE1602">
              <wp:simplePos x="0" y="0"/>
              <wp:positionH relativeFrom="page">
                <wp:align>right</wp:align>
              </wp:positionH>
              <wp:positionV relativeFrom="paragraph">
                <wp:posOffset>-114300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3ECCB7" id="Rectangle 7" o:spid="_x0000_s1026" style="position:absolute;margin-left:541.85pt;margin-top:-9pt;width:593.05pt;height:58.7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" fillcolor="#d8d8d8 [2732]" stroked="f" strokeweight="1pt">
              <v:textbox inset="5.4pt,2.7pt,5.4pt,2.7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5A56" w14:textId="77777777" w:rsidR="00C41375" w:rsidRDefault="00C41375">
    <w:pPr>
      <w:pStyle w:val="Footer"/>
    </w:pPr>
  </w:p>
  <w:p w14:paraId="5D355348" w14:textId="77777777" w:rsidR="00C41375" w:rsidRDefault="00C41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5406" w14:textId="77777777"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A888" w14:textId="77777777" w:rsidR="00794246" w:rsidRDefault="00794246" w:rsidP="00794246">
      <w:pPr>
        <w:spacing w:after="0" w:line="240" w:lineRule="auto"/>
      </w:pPr>
      <w:r>
        <w:separator/>
      </w:r>
    </w:p>
  </w:footnote>
  <w:footnote w:type="continuationSeparator" w:id="0">
    <w:p w14:paraId="0D775633"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B293" w14:textId="77777777" w:rsidR="00B57EC0" w:rsidRDefault="00B57EC0">
    <w:pPr>
      <w:pStyle w:val="Header"/>
    </w:pPr>
    <w:r w:rsidRPr="00794246">
      <w:rPr>
        <w:noProof/>
        <w:lang w:eastAsia="en-GB"/>
      </w:rPr>
      <w:drawing>
        <wp:anchor distT="0" distB="0" distL="114300" distR="114300" simplePos="0" relativeHeight="251664384" behindDoc="0" locked="0" layoutInCell="1" allowOverlap="1" wp14:anchorId="1FAE91DD" wp14:editId="071EA14E">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5408" behindDoc="0" locked="0" layoutInCell="1" allowOverlap="1" wp14:anchorId="3D1EF4E5" wp14:editId="67A5BA93">
              <wp:simplePos x="0" y="0"/>
              <wp:positionH relativeFrom="column">
                <wp:posOffset>2496185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A2FB94" id="Rectangle 12" o:spid="_x0000_s1026" style="position:absolute;margin-left:196.55pt;margin-top:-35.3pt;width:450.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" fillcolor="#108382" stroked="f" strokeweight="1pt">
              <v:textbox inset="5.4pt,2.7pt,5.4pt,2.7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0AB4" w14:textId="77777777" w:rsidR="00794246" w:rsidRDefault="00794246">
    <w:pPr>
      <w:pStyle w:val="Header"/>
    </w:pPr>
  </w:p>
  <w:p w14:paraId="336C8903" w14:textId="77777777" w:rsidR="00794246" w:rsidRDefault="00794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CFEC" w14:textId="77777777" w:rsidR="00AD5BF5" w:rsidRDefault="00AD5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84FAD4"/>
    <w:lvl w:ilvl="0">
      <w:numFmt w:val="decimal"/>
      <w:lvlText w:val="*"/>
      <w:lvlJc w:val="left"/>
    </w:lvl>
  </w:abstractNum>
  <w:abstractNum w:abstractNumId="1" w15:restartNumberingAfterBreak="0">
    <w:nsid w:val="007E7E35"/>
    <w:multiLevelType w:val="hybridMultilevel"/>
    <w:tmpl w:val="0D141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5A4E9C"/>
    <w:multiLevelType w:val="hybridMultilevel"/>
    <w:tmpl w:val="19A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97840"/>
    <w:multiLevelType w:val="hybridMultilevel"/>
    <w:tmpl w:val="06E4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25EFA"/>
    <w:multiLevelType w:val="hybridMultilevel"/>
    <w:tmpl w:val="E5D2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46"/>
    <w:rsid w:val="00002CDF"/>
    <w:rsid w:val="00032E87"/>
    <w:rsid w:val="000D1C57"/>
    <w:rsid w:val="000D5544"/>
    <w:rsid w:val="000D65F8"/>
    <w:rsid w:val="00157E50"/>
    <w:rsid w:val="00164946"/>
    <w:rsid w:val="001F0AF2"/>
    <w:rsid w:val="003337F7"/>
    <w:rsid w:val="00360EFE"/>
    <w:rsid w:val="00557F9E"/>
    <w:rsid w:val="0058603E"/>
    <w:rsid w:val="00643712"/>
    <w:rsid w:val="006E0090"/>
    <w:rsid w:val="00745155"/>
    <w:rsid w:val="00773A41"/>
    <w:rsid w:val="0077411D"/>
    <w:rsid w:val="00794246"/>
    <w:rsid w:val="007C7075"/>
    <w:rsid w:val="008910E4"/>
    <w:rsid w:val="00896163"/>
    <w:rsid w:val="00994EED"/>
    <w:rsid w:val="009C0AF5"/>
    <w:rsid w:val="009C1ED5"/>
    <w:rsid w:val="00A77030"/>
    <w:rsid w:val="00AA3FF4"/>
    <w:rsid w:val="00AD5BF5"/>
    <w:rsid w:val="00B45352"/>
    <w:rsid w:val="00B50481"/>
    <w:rsid w:val="00B57EC0"/>
    <w:rsid w:val="00B63B91"/>
    <w:rsid w:val="00C31D22"/>
    <w:rsid w:val="00C41375"/>
    <w:rsid w:val="00D958D5"/>
    <w:rsid w:val="00DC5A29"/>
    <w:rsid w:val="00FB4F5A"/>
    <w:rsid w:val="00FC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78E07F"/>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B57EC0"/>
    <w:pPr>
      <w:ind w:left="720"/>
      <w:contextualSpacing/>
    </w:pPr>
  </w:style>
  <w:style w:type="paragraph" w:styleId="NoSpacing">
    <w:name w:val="No Spacing"/>
    <w:uiPriority w:val="1"/>
    <w:qFormat/>
    <w:rsid w:val="000D5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4DB3-BB1B-41E9-A8E1-7BA886B0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JERRED</cp:lastModifiedBy>
  <cp:revision>5</cp:revision>
  <cp:lastPrinted>2020-07-06T09:43:00Z</cp:lastPrinted>
  <dcterms:created xsi:type="dcterms:W3CDTF">2022-05-11T15:54:00Z</dcterms:created>
  <dcterms:modified xsi:type="dcterms:W3CDTF">2022-05-11T15:56:00Z</dcterms:modified>
</cp:coreProperties>
</file>