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LibreOffice/24.8.1.2$Windows_X86_64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Syann.Beaumont@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10 February 2025</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Inspection of Welland Park Academy by Ofsted</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We have just told your child's school that we will inspect it on 11 February 2025. The lead inspector will be Sue Vasey.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Hyperlink"/>
            <w:b w:val="false"/>
            <w:color w:val="0000FF"/>
            <w:sz w:val="24"/>
            <w:u w:val="none"/>
          </w:rPr>
          <w:t>https://parentview.ofsted.gov.uk</w:t>
        </w:r>
      </w:hyperlink>
      <w:r>
        <w:rPr>
          <w:b w:val="false"/>
          <w:color w:val="000000"/>
          <w:sz w:val="24"/>
        </w:rPr>
        <w:t>.</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Please complete the online survey by </w:t>
      </w:r>
      <w:r>
        <w:rPr>
          <w:b/>
          <w:color w:val="000000"/>
          <w:sz w:val="24"/>
        </w:rPr>
        <w:t xml:space="preserve">11am </w:t>
      </w:r>
      <w:r>
        <w:rPr>
          <w:b w:val="false"/>
          <w:color w:val="000000"/>
          <w:sz w:val="24"/>
        </w:rPr>
        <w:t>on 11 February 2025 as this will give the inspection team more time to consider your views. However, we will consider all online responses that are completed during the inspection, although the free-text box facility will not be available after noon on 12 February 2025.</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03330777286.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color w:val="000000"/>
          <w:sz w:val="24"/>
        </w:rPr>
      </w:pPr>
      <w:r>
        <w:rPr>
          <w:b/>
          <w:color w:val="000000"/>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Inspectors will gather any personal information necessary to assist them in inspecting a school. </w:t>
      </w:r>
      <w:hyperlink r:id="rId3">
        <w:r>
          <w:rPr>
            <w:rStyle w:val="Hyperlink"/>
            <w:b w:val="false"/>
            <w:color w:val="0000FF"/>
            <w:sz w:val="24"/>
            <w:u w:val="none"/>
          </w:rPr>
          <w:t>Our privacy policy</w:t>
        </w:r>
      </w:hyperlink>
      <w:r>
        <w:rPr>
          <w:b w:val="false"/>
          <w:color w:val="000000"/>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Hyperlink"/>
            <w:b w:val="false"/>
            <w:color w:val="0000FF"/>
            <w:sz w:val="24"/>
            <w:u w:val="none"/>
          </w:rPr>
          <w:t>informationrequest@ofsted.gov.uk</w:t>
        </w:r>
      </w:hyperlink>
      <w:r>
        <w:rPr>
          <w:b w:val="false"/>
          <w:color w:val="000000"/>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color w:val="000000"/>
          <w:sz w:val="24"/>
        </w:rPr>
      </w:pPr>
      <w:r>
        <w:rPr>
          <w:b w:val="false"/>
          <w:color w:val="000000"/>
          <w:sz w:val="24"/>
        </w:rPr>
        <w:t>Yours faithfully</w:t>
      </w:r>
    </w:p>
    <w:p>
      <w:pPr>
        <w:pStyle w:val="Normal"/>
        <w:bidi w:val="0"/>
        <w:spacing w:before="0" w:after="113"/>
        <w:jc w:val="start"/>
        <w:rPr>
          <w:rFonts w:ascii="Tahoma" w:hAnsi="Tahoma"/>
          <w:b w:val="false"/>
          <w:color w:val="000000"/>
          <w:sz w:val="24"/>
        </w:rPr>
      </w:pPr>
      <w:r>
        <w:rPr>
          <w:b w:val="false"/>
          <w:color w:val="000000"/>
          <w:sz w:val="24"/>
        </w:rPr>
        <w:t>Syann Beaumont</w:t>
      </w:r>
    </w:p>
    <w:p>
      <w:pPr>
        <w:pStyle w:val="Normal"/>
        <w:bidi w:val="0"/>
        <w:jc w:val="start"/>
        <w:rPr>
          <w:rFonts w:ascii="Tahoma" w:hAnsi="Tahoma"/>
          <w:b w:val="false"/>
          <w:color w:val="000000"/>
          <w:sz w:val="24"/>
        </w:rPr>
      </w:pPr>
      <w:r>
        <w:rPr>
          <w:b w:val="false"/>
          <w:color w:val="000000"/>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Hyperlink"/>
                <w:color w:val="0000FF"/>
                <w:sz w:val="20"/>
                <w:u w:val="none"/>
              </w:rPr>
              <w:t>enquiries@ofsted.gov.uk</w:t>
            </w:r>
          </w:hyperlink>
        </w:p>
        <w:p>
          <w:pPr>
            <w:pStyle w:val="Normal"/>
            <w:bidi w:val="0"/>
            <w:jc w:val="start"/>
            <w:rPr>
              <w:rFonts w:ascii="Tahoma" w:hAnsi="Tahoma"/>
              <w:sz w:val="20"/>
            </w:rPr>
          </w:pPr>
          <w:hyperlink r:id="rId2">
            <w:r>
              <w:rPr>
                <w:rStyle w:val="Hyper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color w:val="000000"/>
              <w:sz w:val="20"/>
            </w:rPr>
            <w:t xml:space="preserve">Direct T </w:t>
          </w:r>
          <w:r>
            <w:rPr>
              <w:b w:val="false"/>
              <w:color w:val="000000"/>
              <w:sz w:val="20"/>
            </w:rPr>
            <w:t>03330777286</w:t>
          </w:r>
        </w:p>
        <w:p>
          <w:pPr>
            <w:pStyle w:val="Normal"/>
            <w:bidi w:val="0"/>
            <w:jc w:val="start"/>
            <w:rPr>
              <w:rFonts w:ascii="Tahoma" w:hAnsi="Tahoma"/>
              <w:sz w:val="20"/>
            </w:rPr>
          </w:pPr>
          <w:hyperlink r:id="rId3">
            <w:r>
              <w:rPr>
                <w:rStyle w:val="Hyperlink"/>
                <w:b w:val="false"/>
                <w:color w:val="0000FF"/>
                <w:sz w:val="20"/>
                <w:u w:val="none"/>
              </w:rPr>
              <w:t>Syann.Beaumont@Ofsted.Gov.UK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Arial"/>
      <w:color w:val="auto"/>
      <w:kern w:val="2"/>
      <w:sz w:val="24"/>
      <w:szCs w:val="24"/>
      <w:lang w:val="en-GB" w:eastAsia="zh-CN" w:bidi="hi-IN"/>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Hyperlink">
    <w:name w:val="Hyperlink"/>
    <w:rPr>
      <w:color w:val="000080"/>
      <w:u w:val="single"/>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pPr>
      <w:suppressLineNumbers/>
      <w:tabs>
        <w:tab w:val="clear" w:pos="709"/>
      </w:tabs>
      <w:ind w:hanging="113" w:start="113" w:end="0"/>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Ari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Ari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Ari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Ari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Ari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Ari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